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учреждение Пензенской области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Пензенской области»</w:t>
      </w: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BB098E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BB098E" w:rsidRDefault="006E2992" w:rsidP="000A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>Методические рекомендации (памятка)</w:t>
      </w:r>
    </w:p>
    <w:p w:rsidR="00172470" w:rsidRDefault="006E2992" w:rsidP="000A5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педагогическим </w:t>
      </w:r>
      <w:r w:rsidR="00172470">
        <w:rPr>
          <w:rFonts w:ascii="Times New Roman" w:hAnsi="Times New Roman" w:cs="Times New Roman"/>
          <w:b/>
          <w:sz w:val="28"/>
          <w:szCs w:val="28"/>
        </w:rPr>
        <w:t>работникам</w:t>
      </w:r>
      <w:r w:rsidRPr="00BB098E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:rsidR="006E2992" w:rsidRDefault="006E2992" w:rsidP="000A5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172470">
        <w:rPr>
          <w:rFonts w:ascii="Times New Roman" w:hAnsi="Times New Roman" w:cs="Times New Roman"/>
          <w:b/>
          <w:sz w:val="28"/>
          <w:szCs w:val="28"/>
        </w:rPr>
        <w:t xml:space="preserve">анализа результатов социально-психологического тестирования, </w:t>
      </w:r>
      <w:r>
        <w:rPr>
          <w:rFonts w:ascii="Times New Roman" w:hAnsi="Times New Roman" w:cs="Times New Roman"/>
          <w:b/>
          <w:sz w:val="28"/>
          <w:szCs w:val="28"/>
        </w:rPr>
        <w:t>углубленной психодиагностики</w:t>
      </w:r>
      <w:r w:rsidR="00172470">
        <w:rPr>
          <w:rFonts w:ascii="Times New Roman" w:hAnsi="Times New Roman" w:cs="Times New Roman"/>
          <w:b/>
          <w:sz w:val="28"/>
          <w:szCs w:val="28"/>
        </w:rPr>
        <w:t xml:space="preserve"> и выявлению групп риска среди несовершеннолетних</w:t>
      </w: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FB1790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Пенза, 2025</w:t>
      </w:r>
    </w:p>
    <w:p w:rsidR="004E2531" w:rsidRDefault="00E43D84" w:rsidP="000A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(памятке)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основные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одходы к проведению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по результатам социально-психологического тестирования (далее – СПТ),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психодиагностической работы по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СПТ, алгоритму </w:t>
      </w:r>
      <w:proofErr w:type="gramStart"/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детей групп риска деструктивного поведения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(далее – ОО) Пензенской области. </w:t>
      </w:r>
    </w:p>
    <w:p w:rsidR="00E43D84" w:rsidRPr="00C63504" w:rsidRDefault="00E43D84" w:rsidP="000A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рекомендуется для руководител</w:t>
      </w:r>
      <w:r w:rsidR="004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5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FB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специалистов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служб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FB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начального и среднего профессионального образования.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Pr="00C6350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Pr="00C6350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04">
        <w:rPr>
          <w:rFonts w:ascii="Times New Roman" w:eastAsia="Calibri" w:hAnsi="Times New Roman" w:cs="Times New Roman"/>
          <w:sz w:val="28"/>
          <w:szCs w:val="28"/>
        </w:rPr>
        <w:t>СОСТАВИТЕЛИ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Коломенцева Е.В., директор ППМС центра Пензенской области,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Коновалова О.В., начальник отдела ППМС центра Пензенской области,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Сергацков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А.В., ст. методист ППМС центра Пензенской области</w:t>
      </w:r>
      <w:r w:rsidRPr="004F6A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D84" w:rsidRDefault="00E43D84" w:rsidP="000A59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13D6" w:rsidRDefault="00076EF6" w:rsidP="000A59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</w:t>
      </w:r>
      <w:proofErr w:type="spellStart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олжна быть основана на раннем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изучении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признаков данного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условий его формирования.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составляющих диагностики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структивного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является СПТ. </w:t>
      </w:r>
    </w:p>
    <w:p w:rsidR="00C36A6F" w:rsidRDefault="00C36A6F" w:rsidP="000A59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г. единая методика</w:t>
      </w:r>
      <w:r w:rsidR="00B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</w:t>
      </w:r>
      <w:r w:rsidR="00B077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доработана  и предназна</w:t>
      </w:r>
      <w:r w:rsidR="007B6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 для выявления степени вероятности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рискового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hAnsi="Times New Roman" w:cs="Times New Roman"/>
          <w:sz w:val="28"/>
          <w:szCs w:val="28"/>
        </w:rPr>
        <w:t>(в том числе аддиктивного)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обучающихся, достигших возраста 13 лет, начиная с 7 класса.</w:t>
      </w:r>
      <w:r w:rsidR="00E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Методологическая основа  ЕМ СПТ – это </w:t>
      </w:r>
      <w:r w:rsidR="00492545" w:rsidRPr="000A5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 факторов защиты, воздействующих на каждого конкретного обучающегося.</w:t>
      </w:r>
      <w:r w:rsidR="000F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24C8" w:rsidRPr="000A5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характеристик факторов риска и факторов защиты даны в Приложении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F24C8" w:rsidRPr="00E76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индивидуального характера этих соотношений можно делать вывод о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вероятности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рискового </w:t>
      </w:r>
      <w:r w:rsidR="00492545">
        <w:rPr>
          <w:rFonts w:ascii="Times New Roman" w:hAnsi="Times New Roman" w:cs="Times New Roman"/>
          <w:sz w:val="28"/>
          <w:szCs w:val="28"/>
        </w:rPr>
        <w:t>(в том числе аддиктивного)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каждого конкретного обучающегося. </w:t>
      </w:r>
    </w:p>
    <w:p w:rsidR="00C36A6F" w:rsidRDefault="00C36A6F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поведение, несущее добровольное допущение риска для здоровья или жизни подростка. К формам рискового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относятся:</w:t>
      </w:r>
    </w:p>
    <w:p w:rsidR="00C36A6F" w:rsidRPr="00026243" w:rsidRDefault="00C36A6F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Формы аддиктивного поведения – наркомания</w:t>
      </w:r>
      <w:r w:rsidR="00E76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алкоголизм, интернет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компьютеромания</w:t>
      </w:r>
      <w:proofErr w:type="spellEnd"/>
      <w:r w:rsidR="00026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243">
        <w:rPr>
          <w:rFonts w:ascii="Times New Roman" w:hAnsi="Times New Roman" w:cs="Times New Roman"/>
          <w:sz w:val="28"/>
          <w:szCs w:val="28"/>
        </w:rPr>
        <w:t>адреналиномания</w:t>
      </w:r>
      <w:proofErr w:type="spellEnd"/>
      <w:r w:rsidR="00026243">
        <w:rPr>
          <w:rFonts w:ascii="Times New Roman" w:hAnsi="Times New Roman" w:cs="Times New Roman"/>
          <w:sz w:val="28"/>
          <w:szCs w:val="28"/>
        </w:rPr>
        <w:t>.</w:t>
      </w:r>
    </w:p>
    <w:p w:rsidR="00026243" w:rsidRPr="00026243" w:rsidRDefault="00026243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Формы деструктивного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суицид,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расстройства пищевого поведения.</w:t>
      </w:r>
    </w:p>
    <w:p w:rsidR="00026243" w:rsidRPr="005D5741" w:rsidRDefault="00026243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Поведение, связанное с деструктивным характером социальных групп и объединений – интернет-среда и социальные сети, вовлечение в организации экстремистского содержания (А.У.Е.,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автономный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т.п.), вовлечение в деструктивные культы.</w:t>
      </w:r>
    </w:p>
    <w:p w:rsidR="005D5741" w:rsidRDefault="005D5741" w:rsidP="000206B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ЕМ СПТ</w:t>
      </w:r>
      <w:r w:rsidR="00663042">
        <w:rPr>
          <w:rFonts w:ascii="Times New Roman" w:hAnsi="Times New Roman" w:cs="Times New Roman"/>
          <w:sz w:val="28"/>
          <w:szCs w:val="28"/>
        </w:rPr>
        <w:t xml:space="preserve"> каждый обучающийся, прошедший тестирование,  может</w:t>
      </w:r>
      <w:r w:rsidR="007F2FC3">
        <w:rPr>
          <w:rFonts w:ascii="Times New Roman" w:hAnsi="Times New Roman" w:cs="Times New Roman"/>
          <w:sz w:val="28"/>
          <w:szCs w:val="28"/>
        </w:rPr>
        <w:t xml:space="preserve"> быть отнесен к одной из трех</w:t>
      </w:r>
      <w:r w:rsidR="00D7416C">
        <w:rPr>
          <w:rFonts w:ascii="Times New Roman" w:hAnsi="Times New Roman" w:cs="Times New Roman"/>
          <w:sz w:val="28"/>
          <w:szCs w:val="28"/>
        </w:rPr>
        <w:t xml:space="preserve"> групп вероятности</w:t>
      </w:r>
      <w:r w:rsidR="00663042">
        <w:rPr>
          <w:rFonts w:ascii="Times New Roman" w:hAnsi="Times New Roman" w:cs="Times New Roman"/>
          <w:sz w:val="28"/>
          <w:szCs w:val="28"/>
        </w:rPr>
        <w:t xml:space="preserve"> возможного рискового (в том числе аддиктивного) поведения:</w:t>
      </w:r>
    </w:p>
    <w:p w:rsidR="00663042" w:rsidRDefault="00663042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низкой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</w:t>
      </w:r>
      <w:r w:rsidR="00F6208E">
        <w:rPr>
          <w:rFonts w:ascii="Times New Roman" w:hAnsi="Times New Roman" w:cs="Times New Roman"/>
          <w:sz w:val="28"/>
          <w:szCs w:val="28"/>
        </w:rPr>
        <w:t xml:space="preserve">вого (в том числе аддиктивного) </w:t>
      </w:r>
      <w:r>
        <w:rPr>
          <w:rFonts w:ascii="Times New Roman" w:hAnsi="Times New Roman" w:cs="Times New Roman"/>
          <w:sz w:val="28"/>
          <w:szCs w:val="28"/>
        </w:rPr>
        <w:t>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таких обучающихся сформированы </w:t>
      </w:r>
      <w:r w:rsidRPr="000A59D5">
        <w:rPr>
          <w:rFonts w:ascii="Times New Roman" w:hAnsi="Times New Roman" w:cs="Times New Roman"/>
          <w:b/>
          <w:sz w:val="28"/>
          <w:szCs w:val="28"/>
        </w:rPr>
        <w:t>механизмы защиты</w:t>
      </w:r>
      <w:r>
        <w:rPr>
          <w:rFonts w:ascii="Times New Roman" w:hAnsi="Times New Roman" w:cs="Times New Roman"/>
          <w:sz w:val="28"/>
          <w:szCs w:val="28"/>
        </w:rPr>
        <w:t xml:space="preserve"> от развития или инициации рисковых форм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вероятность рискового (в том числе аддиктивного) поведения минимальна. Эти обучающиеся относятся к группе социально-нормативных лиц (</w:t>
      </w:r>
      <w:r w:rsidRPr="000A59D5">
        <w:rPr>
          <w:rFonts w:ascii="Times New Roman" w:hAnsi="Times New Roman" w:cs="Times New Roman"/>
          <w:b/>
          <w:sz w:val="28"/>
          <w:szCs w:val="28"/>
        </w:rPr>
        <w:t>группа «норма</w:t>
      </w:r>
      <w:r>
        <w:rPr>
          <w:rFonts w:ascii="Times New Roman" w:hAnsi="Times New Roman" w:cs="Times New Roman"/>
          <w:sz w:val="28"/>
          <w:szCs w:val="28"/>
        </w:rPr>
        <w:t>»), отличаются позитивной социализацией</w:t>
      </w:r>
      <w:r w:rsidR="006B342A">
        <w:rPr>
          <w:rFonts w:ascii="Times New Roman" w:hAnsi="Times New Roman" w:cs="Times New Roman"/>
          <w:sz w:val="28"/>
          <w:szCs w:val="28"/>
        </w:rPr>
        <w:t>, склонностью к социально-позитивным нормам поведения, которые соблюдаются ими в большинстве жизненных ситуаций.</w:t>
      </w:r>
    </w:p>
    <w:p w:rsidR="004805F3" w:rsidRDefault="004805F3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высоко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аддиктивного) поведения.</w:t>
      </w:r>
      <w:proofErr w:type="gramEnd"/>
      <w:r w:rsidR="0052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могут присутствовать рисковые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виды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Нормативные ценности и правила поведения могут восприниматься ими как «тяжкие оковы», а их соблюдение расцениваться как «потеря свободы». Поэтому появляется стремление игнорировать или нарушать их.</w:t>
      </w:r>
      <w:r w:rsidR="00CD621B">
        <w:rPr>
          <w:rFonts w:ascii="Times New Roman" w:hAnsi="Times New Roman" w:cs="Times New Roman"/>
          <w:sz w:val="28"/>
          <w:szCs w:val="28"/>
        </w:rPr>
        <w:t xml:space="preserve"> Личность не желает или не может прилагать усилий для сдерживания своих побуждений.</w:t>
      </w:r>
    </w:p>
    <w:p w:rsidR="00525269" w:rsidRDefault="00525269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высочайше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аддиктивного)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группа отличается устойчивым </w:t>
      </w:r>
      <w:r w:rsidRPr="000206B6">
        <w:rPr>
          <w:rFonts w:ascii="Times New Roman" w:hAnsi="Times New Roman" w:cs="Times New Roman"/>
          <w:b/>
          <w:sz w:val="28"/>
          <w:szCs w:val="28"/>
        </w:rPr>
        <w:t>доминированием</w:t>
      </w:r>
      <w:r w:rsidR="005F35CA" w:rsidRPr="00020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B6">
        <w:rPr>
          <w:rFonts w:ascii="Times New Roman" w:hAnsi="Times New Roman" w:cs="Times New Roman"/>
          <w:b/>
          <w:sz w:val="28"/>
          <w:szCs w:val="28"/>
        </w:rPr>
        <w:t>факторов риска над факторами защиты</w:t>
      </w:r>
      <w:r>
        <w:rPr>
          <w:rFonts w:ascii="Times New Roman" w:hAnsi="Times New Roman" w:cs="Times New Roman"/>
          <w:sz w:val="28"/>
          <w:szCs w:val="28"/>
        </w:rPr>
        <w:t xml:space="preserve">. Рисковые формы поведения (в том числе аддиктивного) привычны и типичны для данного обучающегося, возможно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Нормативные ценности и правила поведения игнорируются и отрицаются.</w:t>
      </w:r>
    </w:p>
    <w:p w:rsidR="00EF0BE8" w:rsidRDefault="000206B6" w:rsidP="000206B6">
      <w:pPr>
        <w:spacing w:line="360" w:lineRule="auto"/>
        <w:ind w:left="42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0B7" w:rsidRPr="00DF50B7">
        <w:rPr>
          <w:rFonts w:ascii="Times New Roman" w:hAnsi="Times New Roman" w:cs="Times New Roman"/>
          <w:sz w:val="28"/>
          <w:szCs w:val="28"/>
        </w:rPr>
        <w:t xml:space="preserve">Возможности использования результатов </w:t>
      </w:r>
      <w:proofErr w:type="gramStart"/>
      <w:r w:rsidR="00DF50B7" w:rsidRPr="00DF50B7">
        <w:rPr>
          <w:rFonts w:ascii="Times New Roman" w:hAnsi="Times New Roman" w:cs="Times New Roman"/>
          <w:sz w:val="28"/>
          <w:szCs w:val="28"/>
        </w:rPr>
        <w:t>ЕМ СПТ в ОО не огранич</w:t>
      </w:r>
      <w:r w:rsidR="00D7416C">
        <w:rPr>
          <w:rFonts w:ascii="Times New Roman" w:hAnsi="Times New Roman" w:cs="Times New Roman"/>
          <w:sz w:val="28"/>
          <w:szCs w:val="28"/>
        </w:rPr>
        <w:t>иваются</w:t>
      </w:r>
      <w:proofErr w:type="gramEnd"/>
      <w:r w:rsidR="00D7416C">
        <w:rPr>
          <w:rFonts w:ascii="Times New Roman" w:hAnsi="Times New Roman" w:cs="Times New Roman"/>
          <w:sz w:val="28"/>
          <w:szCs w:val="28"/>
        </w:rPr>
        <w:t xml:space="preserve"> выявлением степени вероятности</w:t>
      </w:r>
      <w:r w:rsidR="00DF50B7" w:rsidRPr="00DF50B7">
        <w:rPr>
          <w:rFonts w:ascii="Times New Roman" w:hAnsi="Times New Roman" w:cs="Times New Roman"/>
          <w:sz w:val="28"/>
          <w:szCs w:val="28"/>
        </w:rPr>
        <w:t xml:space="preserve"> возможного рискового (в том числе аддиктивного) поведения обучающихся.</w:t>
      </w:r>
      <w:r w:rsidR="00DF50B7">
        <w:rPr>
          <w:rFonts w:ascii="Times New Roman" w:hAnsi="Times New Roman" w:cs="Times New Roman"/>
          <w:sz w:val="28"/>
          <w:szCs w:val="28"/>
        </w:rPr>
        <w:t xml:space="preserve"> </w:t>
      </w:r>
      <w:r w:rsidR="00EF0BE8">
        <w:rPr>
          <w:rFonts w:ascii="Times New Roman" w:hAnsi="Times New Roman" w:cs="Times New Roman"/>
          <w:sz w:val="28"/>
          <w:szCs w:val="28"/>
        </w:rPr>
        <w:t>Разумеется, что главный акцент будущей профилактической и воспитательной работы – это работа с обучающимися, имеющими высокий и высочайший риск рискового (в 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аддиктивного) поведения. Н</w:t>
      </w:r>
      <w:r w:rsidR="00EF0BE8">
        <w:rPr>
          <w:rFonts w:ascii="Times New Roman" w:hAnsi="Times New Roman" w:cs="Times New Roman"/>
          <w:sz w:val="28"/>
          <w:szCs w:val="28"/>
        </w:rPr>
        <w:t xml:space="preserve">о при этом можно увидеть и проблемные сферы (т.е. - </w:t>
      </w:r>
      <w:r w:rsidR="00EF0BE8" w:rsidRPr="000A59D5">
        <w:rPr>
          <w:rFonts w:ascii="Times New Roman" w:hAnsi="Times New Roman" w:cs="Times New Roman"/>
          <w:b/>
          <w:sz w:val="28"/>
          <w:szCs w:val="28"/>
        </w:rPr>
        <w:t>высокие факторы риска и низкие факторы защиты</w:t>
      </w:r>
      <w:r w:rsidR="00EF0B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F0B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037C">
        <w:rPr>
          <w:rFonts w:ascii="Times New Roman" w:hAnsi="Times New Roman" w:cs="Times New Roman"/>
          <w:sz w:val="28"/>
          <w:szCs w:val="28"/>
        </w:rPr>
        <w:t>, не относящихся к группам повышенн</w:t>
      </w:r>
      <w:r w:rsidR="009B233D">
        <w:rPr>
          <w:rFonts w:ascii="Times New Roman" w:hAnsi="Times New Roman" w:cs="Times New Roman"/>
          <w:sz w:val="28"/>
          <w:szCs w:val="28"/>
        </w:rPr>
        <w:t xml:space="preserve">ого риска. </w:t>
      </w:r>
      <w:r w:rsidR="00A5037C">
        <w:rPr>
          <w:rFonts w:ascii="Times New Roman" w:hAnsi="Times New Roman" w:cs="Times New Roman"/>
          <w:sz w:val="28"/>
          <w:szCs w:val="28"/>
        </w:rPr>
        <w:t>Изу</w:t>
      </w:r>
      <w:r w:rsidR="00B86E68">
        <w:rPr>
          <w:rFonts w:ascii="Times New Roman" w:hAnsi="Times New Roman" w:cs="Times New Roman"/>
          <w:sz w:val="28"/>
          <w:szCs w:val="28"/>
        </w:rPr>
        <w:t>чение проблемных сфер таки</w:t>
      </w:r>
      <w:r w:rsidR="00A5037C">
        <w:rPr>
          <w:rFonts w:ascii="Times New Roman" w:hAnsi="Times New Roman" w:cs="Times New Roman"/>
          <w:sz w:val="28"/>
          <w:szCs w:val="28"/>
        </w:rPr>
        <w:t>х («нормативных») обучающихся может лечь в основу воспитательной работы этих классов.</w:t>
      </w:r>
    </w:p>
    <w:p w:rsidR="000A59D5" w:rsidRDefault="0011614A" w:rsidP="000A59D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внимание,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 СПТ не определяет вид возможного рискового поведения обучающихся. </w:t>
      </w:r>
    </w:p>
    <w:p w:rsidR="0011614A" w:rsidRDefault="0011614A" w:rsidP="000A59D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возможные поведенческие деструкции можно при помощи углубленного психодиагностического исследования и педагогического наблюдения.</w:t>
      </w:r>
    </w:p>
    <w:p w:rsidR="00DF50B7" w:rsidRDefault="000A59D5" w:rsidP="000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333C2" w:rsidRPr="00AA35CA">
        <w:rPr>
          <w:rFonts w:ascii="Times New Roman" w:hAnsi="Times New Roman" w:cs="Times New Roman"/>
          <w:b/>
          <w:sz w:val="28"/>
          <w:szCs w:val="28"/>
          <w:u w:val="single"/>
        </w:rPr>
        <w:t>лгоритм изучения и исп</w:t>
      </w:r>
      <w:r w:rsidR="0011614A" w:rsidRPr="00AA35CA">
        <w:rPr>
          <w:rFonts w:ascii="Times New Roman" w:hAnsi="Times New Roman" w:cs="Times New Roman"/>
          <w:b/>
          <w:sz w:val="28"/>
          <w:szCs w:val="28"/>
          <w:u w:val="single"/>
        </w:rPr>
        <w:t>ользования результатов СПТ</w:t>
      </w:r>
    </w:p>
    <w:p w:rsidR="00E333C2" w:rsidRPr="00AA35CA" w:rsidRDefault="000C03E7" w:rsidP="000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выявления групп риска деструктивного поведения</w:t>
      </w:r>
      <w:r w:rsidR="00020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ОО</w:t>
      </w:r>
    </w:p>
    <w:p w:rsidR="00FB393C" w:rsidRDefault="007B416B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3C">
        <w:rPr>
          <w:rFonts w:ascii="Times New Roman" w:hAnsi="Times New Roman" w:cs="Times New Roman"/>
          <w:b/>
          <w:sz w:val="28"/>
          <w:szCs w:val="28"/>
        </w:rPr>
        <w:t>Анализ профиля каждого обучающегося по классам</w:t>
      </w:r>
      <w:r w:rsidR="002D73E6">
        <w:rPr>
          <w:rFonts w:ascii="Times New Roman" w:hAnsi="Times New Roman" w:cs="Times New Roman"/>
          <w:b/>
          <w:sz w:val="28"/>
          <w:szCs w:val="28"/>
        </w:rPr>
        <w:t xml:space="preserve"> (группам)</w:t>
      </w:r>
      <w:r w:rsidRPr="00FB39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C9" w:rsidRDefault="007B416B" w:rsidP="000206B6">
      <w:pPr>
        <w:spacing w:after="0" w:line="360" w:lineRule="auto"/>
        <w:ind w:left="42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3C">
        <w:rPr>
          <w:rFonts w:ascii="Times New Roman" w:hAnsi="Times New Roman" w:cs="Times New Roman"/>
          <w:sz w:val="28"/>
          <w:szCs w:val="28"/>
        </w:rPr>
        <w:t>Этот анализ предполагает вход в каждый пр</w:t>
      </w:r>
      <w:r w:rsidR="00FB393C" w:rsidRPr="00FB393C">
        <w:rPr>
          <w:rFonts w:ascii="Times New Roman" w:hAnsi="Times New Roman" w:cs="Times New Roman"/>
          <w:sz w:val="28"/>
          <w:szCs w:val="28"/>
        </w:rPr>
        <w:t>о</w:t>
      </w:r>
      <w:r w:rsidRPr="00FB393C">
        <w:rPr>
          <w:rFonts w:ascii="Times New Roman" w:hAnsi="Times New Roman" w:cs="Times New Roman"/>
          <w:sz w:val="28"/>
          <w:szCs w:val="28"/>
        </w:rPr>
        <w:t>филь</w:t>
      </w:r>
      <w:r w:rsidR="00FB393C" w:rsidRPr="00FB393C">
        <w:rPr>
          <w:rFonts w:ascii="Times New Roman" w:hAnsi="Times New Roman" w:cs="Times New Roman"/>
          <w:sz w:val="28"/>
          <w:szCs w:val="28"/>
        </w:rPr>
        <w:t xml:space="preserve"> (каждый обучающийся, прошедший СПТ)</w:t>
      </w:r>
      <w:r w:rsidR="00FB393C">
        <w:rPr>
          <w:rFonts w:ascii="Times New Roman" w:hAnsi="Times New Roman" w:cs="Times New Roman"/>
          <w:sz w:val="28"/>
          <w:szCs w:val="28"/>
        </w:rPr>
        <w:t xml:space="preserve"> и определение проблемных сфер, т.е. - высокие факторы риска и низкие факторы защиты (они выделены красным цветом), свойственные данному обучающемуся.</w:t>
      </w:r>
    </w:p>
    <w:p w:rsidR="000206B6" w:rsidRDefault="000206B6" w:rsidP="005F3CBC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0B7">
        <w:rPr>
          <w:rFonts w:ascii="Times New Roman" w:hAnsi="Times New Roman" w:cs="Times New Roman"/>
          <w:sz w:val="28"/>
          <w:szCs w:val="28"/>
        </w:rPr>
        <w:t xml:space="preserve">По результатам всех прошедших СПТ в классе </w:t>
      </w:r>
      <w:r w:rsidR="000A6D01">
        <w:rPr>
          <w:rFonts w:ascii="Times New Roman" w:hAnsi="Times New Roman" w:cs="Times New Roman"/>
          <w:sz w:val="28"/>
          <w:szCs w:val="28"/>
        </w:rPr>
        <w:t xml:space="preserve"> </w:t>
      </w:r>
      <w:r w:rsidR="00DF50B7">
        <w:rPr>
          <w:rFonts w:ascii="Times New Roman" w:hAnsi="Times New Roman" w:cs="Times New Roman"/>
          <w:sz w:val="28"/>
          <w:szCs w:val="28"/>
        </w:rPr>
        <w:t xml:space="preserve">можно выделить те высокие факторы риска или низкие факторы защиты, которые будут свойственны значительной части обучающихся данного класса. </w:t>
      </w:r>
      <w:r w:rsidR="00056C1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5F3CBC">
        <w:rPr>
          <w:rFonts w:ascii="Times New Roman" w:hAnsi="Times New Roman" w:cs="Times New Roman"/>
          <w:sz w:val="28"/>
          <w:szCs w:val="28"/>
        </w:rPr>
        <w:t>эт</w:t>
      </w:r>
      <w:r w:rsidR="00056C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1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12B56">
        <w:rPr>
          <w:rFonts w:ascii="Times New Roman" w:hAnsi="Times New Roman" w:cs="Times New Roman"/>
          <w:sz w:val="28"/>
          <w:szCs w:val="28"/>
        </w:rPr>
        <w:t>определить профиль конкретного класса (группы) (т.е.</w:t>
      </w:r>
      <w:r w:rsidR="007F74E3">
        <w:rPr>
          <w:rFonts w:ascii="Times New Roman" w:hAnsi="Times New Roman" w:cs="Times New Roman"/>
          <w:sz w:val="28"/>
          <w:szCs w:val="28"/>
        </w:rPr>
        <w:t xml:space="preserve"> </w:t>
      </w:r>
      <w:r w:rsidR="00412B56">
        <w:rPr>
          <w:rFonts w:ascii="Times New Roman" w:hAnsi="Times New Roman" w:cs="Times New Roman"/>
          <w:sz w:val="28"/>
          <w:szCs w:val="28"/>
        </w:rPr>
        <w:t xml:space="preserve">высокие факторы риска и низкие факторы защиты, свойственные значительной части </w:t>
      </w:r>
      <w:proofErr w:type="gramStart"/>
      <w:r w:rsidR="00412B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2B56">
        <w:rPr>
          <w:rFonts w:ascii="Times New Roman" w:hAnsi="Times New Roman" w:cs="Times New Roman"/>
          <w:sz w:val="28"/>
          <w:szCs w:val="28"/>
        </w:rPr>
        <w:t xml:space="preserve"> данного конкретного класса (группы)) и </w:t>
      </w:r>
      <w:r w:rsidR="00056C14">
        <w:rPr>
          <w:rFonts w:ascii="Times New Roman" w:hAnsi="Times New Roman" w:cs="Times New Roman"/>
          <w:sz w:val="28"/>
          <w:szCs w:val="28"/>
        </w:rPr>
        <w:t>планировать профилактическую и воспитательную работу как индивидуально, так и с классом в целом</w:t>
      </w:r>
      <w:r w:rsidR="00412B56">
        <w:rPr>
          <w:rFonts w:ascii="Times New Roman" w:hAnsi="Times New Roman" w:cs="Times New Roman"/>
          <w:sz w:val="28"/>
          <w:szCs w:val="28"/>
        </w:rPr>
        <w:t>, опираясь на выявленные результаты</w:t>
      </w:r>
      <w:r w:rsidR="00056C14">
        <w:rPr>
          <w:rFonts w:ascii="Times New Roman" w:hAnsi="Times New Roman" w:cs="Times New Roman"/>
          <w:sz w:val="28"/>
          <w:szCs w:val="28"/>
        </w:rPr>
        <w:t>.</w:t>
      </w:r>
    </w:p>
    <w:p w:rsidR="00797313" w:rsidRDefault="009A750F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4E3">
        <w:rPr>
          <w:rFonts w:ascii="Times New Roman" w:hAnsi="Times New Roman" w:cs="Times New Roman"/>
          <w:b/>
          <w:sz w:val="28"/>
          <w:szCs w:val="28"/>
        </w:rPr>
        <w:t>Вы</w:t>
      </w:r>
      <w:r w:rsidR="007F74E3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  <w:proofErr w:type="gramStart"/>
      <w:r w:rsidR="007F74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F74E3">
        <w:rPr>
          <w:rFonts w:ascii="Times New Roman" w:hAnsi="Times New Roman" w:cs="Times New Roman"/>
          <w:b/>
          <w:sz w:val="28"/>
          <w:szCs w:val="28"/>
        </w:rPr>
        <w:t>, имеющих высокую и высочайшую</w:t>
      </w:r>
      <w:r w:rsidRPr="009A7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4E3">
        <w:rPr>
          <w:rFonts w:ascii="Times New Roman" w:hAnsi="Times New Roman" w:cs="Times New Roman"/>
          <w:b/>
          <w:sz w:val="28"/>
          <w:szCs w:val="28"/>
        </w:rPr>
        <w:t>вероятность</w:t>
      </w:r>
      <w:r w:rsidRPr="009A750F">
        <w:rPr>
          <w:rFonts w:ascii="Times New Roman" w:hAnsi="Times New Roman" w:cs="Times New Roman"/>
          <w:b/>
          <w:sz w:val="28"/>
          <w:szCs w:val="28"/>
        </w:rPr>
        <w:t xml:space="preserve"> возможного рискового (в том числе аддиктивного) поведения.</w:t>
      </w:r>
    </w:p>
    <w:p w:rsidR="009A750F" w:rsidRDefault="000206B6" w:rsidP="000206B6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50F" w:rsidRPr="009A750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A750F" w:rsidRPr="00487EFF">
        <w:rPr>
          <w:rFonts w:ascii="Times New Roman" w:hAnsi="Times New Roman" w:cs="Times New Roman"/>
          <w:sz w:val="28"/>
          <w:szCs w:val="28"/>
        </w:rPr>
        <w:t>группы риска могут быть определены и по каждому классу, и по школе в цело</w:t>
      </w:r>
      <w:r w:rsidR="009A750F">
        <w:rPr>
          <w:rFonts w:ascii="Times New Roman" w:hAnsi="Times New Roman" w:cs="Times New Roman"/>
          <w:sz w:val="28"/>
          <w:szCs w:val="28"/>
        </w:rPr>
        <w:t>м. С этими категориями обучающихся требуется дальнейшая углубленная психодиагностическая работа</w:t>
      </w:r>
      <w:r w:rsidR="00CC4860">
        <w:rPr>
          <w:rFonts w:ascii="Times New Roman" w:hAnsi="Times New Roman" w:cs="Times New Roman"/>
          <w:sz w:val="28"/>
          <w:szCs w:val="28"/>
        </w:rPr>
        <w:t xml:space="preserve"> с целью конкретизации возможного вида деструктивных проявлений у них</w:t>
      </w:r>
      <w:r w:rsidR="009A750F">
        <w:rPr>
          <w:rFonts w:ascii="Times New Roman" w:hAnsi="Times New Roman" w:cs="Times New Roman"/>
          <w:sz w:val="28"/>
          <w:szCs w:val="28"/>
        </w:rPr>
        <w:t xml:space="preserve">, а также – профилактическая </w:t>
      </w:r>
      <w:proofErr w:type="gramStart"/>
      <w:r w:rsidR="009A75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A750F">
        <w:rPr>
          <w:rFonts w:ascii="Times New Roman" w:hAnsi="Times New Roman" w:cs="Times New Roman"/>
          <w:sz w:val="28"/>
          <w:szCs w:val="28"/>
        </w:rPr>
        <w:t>или) коррекционная работа в ОО.</w:t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</w:p>
    <w:p w:rsidR="004D4E5D" w:rsidRPr="00487EFF" w:rsidRDefault="00D8136B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Выявление </w:t>
      </w:r>
      <w:proofErr w:type="gramStart"/>
      <w:r w:rsidRPr="00487E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E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7EFF" w:rsidRPr="00487EFF">
        <w:rPr>
          <w:rFonts w:ascii="Times New Roman" w:hAnsi="Times New Roman" w:cs="Times New Roman"/>
          <w:b/>
          <w:sz w:val="28"/>
          <w:szCs w:val="28"/>
        </w:rPr>
        <w:t>имеющих риск возможного</w:t>
      </w:r>
      <w:r w:rsidRPr="00487EFF">
        <w:rPr>
          <w:rFonts w:ascii="Times New Roman" w:hAnsi="Times New Roman" w:cs="Times New Roman"/>
          <w:b/>
          <w:sz w:val="28"/>
          <w:szCs w:val="28"/>
        </w:rPr>
        <w:t xml:space="preserve"> суицидальн</w:t>
      </w:r>
      <w:r w:rsidR="00487EFF" w:rsidRPr="00487EFF">
        <w:rPr>
          <w:rFonts w:ascii="Times New Roman" w:hAnsi="Times New Roman" w:cs="Times New Roman"/>
          <w:b/>
          <w:sz w:val="28"/>
          <w:szCs w:val="28"/>
        </w:rPr>
        <w:t>ого поведения</w:t>
      </w:r>
      <w:r w:rsidRPr="00487EFF">
        <w:rPr>
          <w:rFonts w:ascii="Times New Roman" w:hAnsi="Times New Roman" w:cs="Times New Roman"/>
          <w:b/>
          <w:sz w:val="28"/>
          <w:szCs w:val="28"/>
        </w:rPr>
        <w:t>:</w:t>
      </w:r>
    </w:p>
    <w:p w:rsidR="00C5261E" w:rsidRDefault="00887C6C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6C">
        <w:rPr>
          <w:rFonts w:ascii="Times New Roman" w:eastAsia="Calibri" w:hAnsi="Times New Roman" w:cs="Times New Roman"/>
          <w:sz w:val="28"/>
          <w:szCs w:val="28"/>
        </w:rPr>
        <w:t>Выя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имеющих риск возможного суицидального поведения имеет особое значение. </w:t>
      </w:r>
      <w:r w:rsidR="00C5261E" w:rsidRPr="00C5261E">
        <w:rPr>
          <w:rFonts w:ascii="Times New Roman" w:eastAsia="Calibri" w:hAnsi="Times New Roman" w:cs="Times New Roman"/>
          <w:b/>
          <w:sz w:val="28"/>
          <w:szCs w:val="28"/>
        </w:rPr>
        <w:t xml:space="preserve">Прежде </w:t>
      </w:r>
      <w:proofErr w:type="gramStart"/>
      <w:r w:rsidR="00C5261E" w:rsidRPr="00C5261E">
        <w:rPr>
          <w:rFonts w:ascii="Times New Roman" w:eastAsia="Calibri" w:hAnsi="Times New Roman" w:cs="Times New Roman"/>
          <w:b/>
          <w:sz w:val="28"/>
          <w:szCs w:val="28"/>
        </w:rPr>
        <w:t>всего</w:t>
      </w:r>
      <w:proofErr w:type="gramEnd"/>
      <w:r w:rsidR="00EF16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261E" w:rsidRPr="00C5261E">
        <w:rPr>
          <w:rFonts w:ascii="Times New Roman" w:eastAsia="Calibri" w:hAnsi="Times New Roman" w:cs="Times New Roman"/>
          <w:b/>
          <w:sz w:val="28"/>
          <w:szCs w:val="28"/>
        </w:rPr>
        <w:t xml:space="preserve"> надо помнить, что возможный риск суицидального поведения может быть не только у тех обучающихся, кто показал высокую или высочайшую вероятность рискового поведения, но и у обучающихся с низкой вероятностью рискового поведения.</w:t>
      </w:r>
    </w:p>
    <w:p w:rsidR="00887C6C" w:rsidRDefault="00C5261E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выявления риска суицидального поведения</w:t>
      </w:r>
      <w:r w:rsidR="008F296C">
        <w:rPr>
          <w:rFonts w:ascii="Times New Roman" w:eastAsia="Calibri" w:hAnsi="Times New Roman" w:cs="Times New Roman"/>
          <w:sz w:val="28"/>
          <w:szCs w:val="28"/>
        </w:rPr>
        <w:t xml:space="preserve"> необходимо использовать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87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во-первых </w:t>
      </w:r>
      <w:r w:rsidR="008F296C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44248D">
        <w:rPr>
          <w:rFonts w:ascii="Times New Roman" w:eastAsia="Calibri" w:hAnsi="Times New Roman" w:cs="Times New Roman"/>
          <w:sz w:val="28"/>
          <w:szCs w:val="28"/>
        </w:rPr>
        <w:t>,</w:t>
      </w:r>
      <w:r w:rsidR="008F296C">
        <w:rPr>
          <w:rFonts w:ascii="Times New Roman" w:eastAsia="Calibri" w:hAnsi="Times New Roman" w:cs="Times New Roman"/>
          <w:sz w:val="28"/>
          <w:szCs w:val="28"/>
        </w:rPr>
        <w:t xml:space="preserve"> данные</w:t>
      </w:r>
      <w:r w:rsidR="00887C6C">
        <w:rPr>
          <w:rFonts w:ascii="Times New Roman" w:eastAsia="Calibri" w:hAnsi="Times New Roman" w:cs="Times New Roman"/>
          <w:sz w:val="28"/>
          <w:szCs w:val="28"/>
        </w:rPr>
        <w:t xml:space="preserve"> в профиле каждого прошедшего СПТ в разделе </w:t>
      </w:r>
      <w:r w:rsidR="00887C6C" w:rsidRPr="00AE5211">
        <w:rPr>
          <w:rFonts w:ascii="Times New Roman" w:eastAsia="Calibri" w:hAnsi="Times New Roman" w:cs="Times New Roman"/>
          <w:b/>
          <w:sz w:val="28"/>
          <w:szCs w:val="28"/>
        </w:rPr>
        <w:t>«Дополнительные признаки»</w:t>
      </w:r>
      <w:r w:rsidR="00AE521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87C6C" w:rsidRPr="00AE5211">
        <w:rPr>
          <w:rFonts w:ascii="Times New Roman" w:eastAsia="Calibri" w:hAnsi="Times New Roman" w:cs="Times New Roman"/>
          <w:b/>
          <w:sz w:val="28"/>
          <w:szCs w:val="28"/>
        </w:rPr>
        <w:t xml:space="preserve"> «Повышенный риск суицидального поведения»</w:t>
      </w:r>
      <w:r w:rsidR="00887C6C">
        <w:rPr>
          <w:rFonts w:ascii="Times New Roman" w:eastAsia="Calibri" w:hAnsi="Times New Roman" w:cs="Times New Roman"/>
          <w:sz w:val="28"/>
          <w:szCs w:val="28"/>
        </w:rPr>
        <w:t>. Каждый обучающийся, имеющий положительный результат по повышенному риску суицидального поведения</w:t>
      </w:r>
      <w:r w:rsidR="008F296C">
        <w:rPr>
          <w:rFonts w:ascii="Times New Roman" w:eastAsia="Calibri" w:hAnsi="Times New Roman" w:cs="Times New Roman"/>
          <w:sz w:val="28"/>
          <w:szCs w:val="28"/>
        </w:rPr>
        <w:t xml:space="preserve"> в указанном разделе дополнительных признаков</w:t>
      </w:r>
      <w:r w:rsidR="00887C6C">
        <w:rPr>
          <w:rFonts w:ascii="Times New Roman" w:eastAsia="Calibri" w:hAnsi="Times New Roman" w:cs="Times New Roman"/>
          <w:sz w:val="28"/>
          <w:szCs w:val="28"/>
        </w:rPr>
        <w:t>, должен подвергнуться процедуре углубленной психодиагностике и обсуждению возможного риска на коллегиальном органе ОО (Совет профилактики ОО).</w:t>
      </w:r>
    </w:p>
    <w:p w:rsidR="002D6770" w:rsidRPr="0044248D" w:rsidRDefault="002D6770" w:rsidP="0044248D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руководствоваться только этим</w:t>
      </w:r>
      <w:r w:rsidR="00EF165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96C">
        <w:rPr>
          <w:rFonts w:ascii="Times New Roman" w:eastAsia="Calibri" w:hAnsi="Times New Roman" w:cs="Times New Roman"/>
          <w:sz w:val="28"/>
          <w:szCs w:val="28"/>
        </w:rPr>
        <w:t xml:space="preserve">данными </w:t>
      </w:r>
      <w:r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8F296C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>, как показывает практика, недостаточно. Необходимо обращать внимание еще на ряд показателей, которые есть в каждом профиле прошедшего СП</w:t>
      </w:r>
      <w:r w:rsidR="0044248D">
        <w:rPr>
          <w:rFonts w:ascii="Times New Roman" w:eastAsia="Calibri" w:hAnsi="Times New Roman" w:cs="Times New Roman"/>
          <w:sz w:val="28"/>
          <w:szCs w:val="28"/>
        </w:rPr>
        <w:t>Т. При этом эти показатели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быть</w:t>
      </w:r>
      <w:r w:rsidR="0044248D"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="00EF1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связаны с основным выводом о степени вероятности рискового поведения того или иного обучающегося. </w:t>
      </w:r>
      <w:r w:rsidRPr="007F74E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Т.е. показатели возможного риска суицидального поведения, указанные ниже, могут быть и </w:t>
      </w:r>
      <w:r w:rsidR="00EF165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 </w:t>
      </w:r>
      <w:proofErr w:type="gramStart"/>
      <w:r w:rsidRPr="0044248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44248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низкой вероятностью рискового поведения.</w:t>
      </w:r>
    </w:p>
    <w:p w:rsidR="000B3E66" w:rsidRPr="00FE215C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Первый </w:t>
      </w:r>
      <w:r w:rsidR="004D4E5D"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показатель:</w:t>
      </w:r>
      <w:r w:rsidR="004D4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E013A9">
        <w:rPr>
          <w:rFonts w:ascii="Times New Roman" w:eastAsia="Calibri" w:hAnsi="Times New Roman" w:cs="Times New Roman"/>
          <w:sz w:val="28"/>
          <w:szCs w:val="28"/>
        </w:rPr>
        <w:t>О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>бучающиеся, имеющие высокие показатели</w:t>
      </w:r>
      <w:r w:rsidR="00E013A9" w:rsidRPr="00F9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по фактору риска </w:t>
      </w:r>
      <w:r w:rsidR="0017570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175707">
        <w:rPr>
          <w:rFonts w:ascii="Times New Roman" w:eastAsia="Calibri" w:hAnsi="Times New Roman" w:cs="Times New Roman"/>
          <w:b/>
          <w:sz w:val="28"/>
          <w:szCs w:val="28"/>
        </w:rPr>
        <w:t>Фрустрированность</w:t>
      </w:r>
      <w:proofErr w:type="spellEnd"/>
      <w:r w:rsidR="00E013A9" w:rsidRPr="0048053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75707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="00175707">
        <w:rPr>
          <w:rFonts w:ascii="Times New Roman" w:eastAsia="Calibri" w:hAnsi="Times New Roman" w:cs="Times New Roman"/>
          <w:b/>
          <w:sz w:val="28"/>
          <w:szCs w:val="28"/>
        </w:rPr>
        <w:t>ФР</w:t>
      </w:r>
      <w:proofErr w:type="gramEnd"/>
      <w:r w:rsidR="00175707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 w:rsidR="00E013A9">
        <w:rPr>
          <w:rFonts w:ascii="Times New Roman" w:eastAsia="Calibri" w:hAnsi="Times New Roman" w:cs="Times New Roman"/>
          <w:i/>
          <w:sz w:val="28"/>
          <w:szCs w:val="28"/>
        </w:rPr>
        <w:t>в профиле красным цветом</w:t>
      </w:r>
      <w:r w:rsidR="00E013A9" w:rsidRPr="00C0586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E215C">
        <w:rPr>
          <w:rFonts w:ascii="Times New Roman" w:eastAsia="Calibri" w:hAnsi="Times New Roman" w:cs="Times New Roman"/>
          <w:sz w:val="28"/>
          <w:szCs w:val="28"/>
        </w:rPr>
        <w:t xml:space="preserve"> Выраженность уже одного этого фактора риска (даже при благоприятных показателях всех других факторов риска и факторов защиты и общем выводе о низкой вероятности рискового поведения</w:t>
      </w:r>
      <w:proofErr w:type="gramStart"/>
      <w:r w:rsidR="00FE215C">
        <w:rPr>
          <w:rFonts w:ascii="Times New Roman" w:eastAsia="Calibri" w:hAnsi="Times New Roman" w:cs="Times New Roman"/>
          <w:sz w:val="28"/>
          <w:szCs w:val="28"/>
        </w:rPr>
        <w:t xml:space="preserve"> - !!!</w:t>
      </w:r>
      <w:r w:rsidR="00CF2F0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="00CF2F00">
        <w:rPr>
          <w:rFonts w:ascii="Times New Roman" w:eastAsia="Calibri" w:hAnsi="Times New Roman" w:cs="Times New Roman"/>
          <w:sz w:val="28"/>
          <w:szCs w:val="28"/>
        </w:rPr>
        <w:t>должна стать</w:t>
      </w:r>
      <w:r w:rsidR="00FE215C">
        <w:rPr>
          <w:rFonts w:ascii="Times New Roman" w:eastAsia="Calibri" w:hAnsi="Times New Roman" w:cs="Times New Roman"/>
          <w:sz w:val="28"/>
          <w:szCs w:val="28"/>
        </w:rPr>
        <w:t xml:space="preserve"> основанием для более углубленного изучения данного обучающегося.</w:t>
      </w:r>
    </w:p>
    <w:p w:rsidR="00E013A9" w:rsidRPr="00175707" w:rsidRDefault="000B3E66" w:rsidP="00175707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Второй </w:t>
      </w:r>
      <w:r w:rsidR="004D4E5D"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показатель:</w:t>
      </w:r>
      <w:r w:rsidR="004D4E5D" w:rsidRPr="000B3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75707" w:rsidRPr="00175707">
        <w:rPr>
          <w:rFonts w:ascii="Times New Roman" w:eastAsia="Calibri" w:hAnsi="Times New Roman" w:cs="Times New Roman"/>
          <w:sz w:val="28"/>
          <w:szCs w:val="28"/>
        </w:rPr>
        <w:t xml:space="preserve">Особое внимание необходимо обратить на выраженность фактора </w:t>
      </w:r>
      <w:r w:rsidR="00175707" w:rsidRPr="00FE215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175707" w:rsidRPr="00FE215C">
        <w:rPr>
          <w:rFonts w:ascii="Times New Roman" w:eastAsia="Calibri" w:hAnsi="Times New Roman" w:cs="Times New Roman"/>
          <w:b/>
          <w:sz w:val="28"/>
          <w:szCs w:val="28"/>
        </w:rPr>
        <w:t>Фрустрированность</w:t>
      </w:r>
      <w:proofErr w:type="spellEnd"/>
      <w:r w:rsidR="00175707" w:rsidRPr="00FE215C">
        <w:rPr>
          <w:rFonts w:ascii="Times New Roman" w:eastAsia="Calibri" w:hAnsi="Times New Roman" w:cs="Times New Roman"/>
          <w:b/>
          <w:sz w:val="28"/>
          <w:szCs w:val="28"/>
        </w:rPr>
        <w:t>» (</w:t>
      </w:r>
      <w:proofErr w:type="gramStart"/>
      <w:r w:rsidR="00175707" w:rsidRPr="00FE215C">
        <w:rPr>
          <w:rFonts w:ascii="Times New Roman" w:eastAsia="Calibri" w:hAnsi="Times New Roman" w:cs="Times New Roman"/>
          <w:b/>
          <w:sz w:val="28"/>
          <w:szCs w:val="28"/>
        </w:rPr>
        <w:t>ФР</w:t>
      </w:r>
      <w:proofErr w:type="gramEnd"/>
      <w:r w:rsidR="00175707" w:rsidRPr="00FE215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175707" w:rsidRPr="00175707">
        <w:rPr>
          <w:rFonts w:ascii="Times New Roman" w:eastAsia="Calibri" w:hAnsi="Times New Roman" w:cs="Times New Roman"/>
          <w:sz w:val="28"/>
          <w:szCs w:val="28"/>
        </w:rPr>
        <w:t xml:space="preserve"> в сочетании со следующими факторами.</w:t>
      </w:r>
      <w:r w:rsidR="001757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75707">
        <w:rPr>
          <w:rFonts w:ascii="Times New Roman" w:eastAsia="Calibri" w:hAnsi="Times New Roman" w:cs="Times New Roman"/>
          <w:sz w:val="28"/>
          <w:szCs w:val="28"/>
        </w:rPr>
        <w:t>О</w:t>
      </w:r>
      <w:r w:rsidR="00175707" w:rsidRPr="00057BCE">
        <w:rPr>
          <w:rFonts w:ascii="Times New Roman" w:eastAsia="Calibri" w:hAnsi="Times New Roman" w:cs="Times New Roman"/>
          <w:sz w:val="28"/>
          <w:szCs w:val="28"/>
        </w:rPr>
        <w:t xml:space="preserve">бучающиеся, имеющие в своем профиле высокие показатели </w:t>
      </w:r>
      <w:r w:rsidR="00175707" w:rsidRPr="00057B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факторов риска </w:t>
      </w:r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«Импульсивность» (ИМ), «Тревожность» (</w:t>
      </w:r>
      <w:proofErr w:type="gramStart"/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ТР</w:t>
      </w:r>
      <w:proofErr w:type="gramEnd"/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) и «</w:t>
      </w:r>
      <w:proofErr w:type="spellStart"/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Фрустрированность</w:t>
      </w:r>
      <w:proofErr w:type="spellEnd"/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» (ФР)</w:t>
      </w:r>
      <w:r w:rsidR="00175707" w:rsidRPr="00057BCE">
        <w:rPr>
          <w:rFonts w:ascii="Times New Roman" w:eastAsia="Calibri" w:hAnsi="Times New Roman" w:cs="Times New Roman"/>
          <w:sz w:val="28"/>
          <w:szCs w:val="28"/>
        </w:rPr>
        <w:t xml:space="preserve"> и низкие показатели факторов защиты </w:t>
      </w:r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Фрустрационная</w:t>
      </w:r>
      <w:proofErr w:type="spellEnd"/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 xml:space="preserve"> устойчивость» (ФУ) и «Самоконтроль поведения» (СП)</w:t>
      </w:r>
      <w:r w:rsidR="00175707" w:rsidRPr="00057BCE">
        <w:rPr>
          <w:rFonts w:ascii="Times New Roman" w:eastAsia="Calibri" w:hAnsi="Times New Roman" w:cs="Times New Roman"/>
          <w:sz w:val="28"/>
          <w:szCs w:val="28"/>
        </w:rPr>
        <w:t xml:space="preserve"> (все пять факторов отмечены в профиле красным цветом), учитывая показатель </w:t>
      </w:r>
      <w:r w:rsidR="00175707" w:rsidRPr="00AE5211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 (ПР)</w:t>
      </w:r>
      <w:r w:rsidR="0017570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AE395D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75707">
        <w:rPr>
          <w:rFonts w:ascii="Times New Roman" w:eastAsia="Calibri" w:hAnsi="Times New Roman" w:cs="Times New Roman"/>
          <w:sz w:val="28"/>
          <w:szCs w:val="28"/>
        </w:rPr>
        <w:t xml:space="preserve">т.е. чем ниже балл по стенам </w:t>
      </w:r>
      <w:r w:rsidR="00175707" w:rsidRPr="00AE395D">
        <w:rPr>
          <w:rFonts w:ascii="Times New Roman" w:eastAsia="Calibri" w:hAnsi="Times New Roman" w:cs="Times New Roman"/>
          <w:b/>
          <w:sz w:val="28"/>
          <w:szCs w:val="28"/>
        </w:rPr>
        <w:t>(ПР)</w:t>
      </w:r>
      <w:r w:rsidR="00175707">
        <w:rPr>
          <w:rFonts w:ascii="Times New Roman" w:eastAsia="Calibri" w:hAnsi="Times New Roman" w:cs="Times New Roman"/>
          <w:sz w:val="28"/>
          <w:szCs w:val="28"/>
        </w:rPr>
        <w:t>, тем выше вероятность суицидального поведения)</w:t>
      </w:r>
      <w:r w:rsidR="00175707" w:rsidRPr="00057B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3A9" w:rsidRPr="00175707" w:rsidRDefault="000B3E66" w:rsidP="00175707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Третий </w:t>
      </w:r>
      <w:r w:rsidR="004D4E5D"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показатель:</w:t>
      </w:r>
      <w:r w:rsidR="009A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707" w:rsidRPr="000B3E66">
        <w:rPr>
          <w:rFonts w:ascii="Times New Roman" w:eastAsia="Calibri" w:hAnsi="Times New Roman" w:cs="Times New Roman"/>
          <w:sz w:val="28"/>
          <w:szCs w:val="28"/>
        </w:rPr>
        <w:t xml:space="preserve">Обучающиеся, имеющие в своем профиле </w:t>
      </w:r>
      <w:r w:rsidR="00175707" w:rsidRPr="000B3E66">
        <w:rPr>
          <w:rFonts w:ascii="Times New Roman" w:eastAsia="Calibri" w:hAnsi="Times New Roman" w:cs="Times New Roman"/>
          <w:b/>
          <w:sz w:val="32"/>
          <w:szCs w:val="32"/>
        </w:rPr>
        <w:t>высокие</w:t>
      </w:r>
      <w:r w:rsidR="00175707" w:rsidRPr="000B3E66">
        <w:rPr>
          <w:rFonts w:ascii="Times New Roman" w:eastAsia="Calibri" w:hAnsi="Times New Roman" w:cs="Times New Roman"/>
          <w:sz w:val="28"/>
          <w:szCs w:val="28"/>
        </w:rPr>
        <w:t xml:space="preserve"> показатели факторов риска </w:t>
      </w:r>
      <w:r w:rsidR="00175707" w:rsidRPr="000B3E66">
        <w:rPr>
          <w:rFonts w:ascii="Times New Roman" w:eastAsia="Calibri" w:hAnsi="Times New Roman" w:cs="Times New Roman"/>
          <w:b/>
          <w:sz w:val="28"/>
          <w:szCs w:val="28"/>
        </w:rPr>
        <w:t>«Тревожность»</w:t>
      </w:r>
      <w:r w:rsidR="00175707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="00175707">
        <w:rPr>
          <w:rFonts w:ascii="Times New Roman" w:eastAsia="Calibri" w:hAnsi="Times New Roman" w:cs="Times New Roman"/>
          <w:b/>
          <w:sz w:val="28"/>
          <w:szCs w:val="28"/>
        </w:rPr>
        <w:t>ТР</w:t>
      </w:r>
      <w:proofErr w:type="gramEnd"/>
      <w:r w:rsidR="00175707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175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707" w:rsidRPr="000B3E6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75707" w:rsidRPr="000B3E66">
        <w:rPr>
          <w:rFonts w:ascii="Times New Roman" w:eastAsia="Calibri" w:hAnsi="Times New Roman" w:cs="Times New Roman"/>
          <w:b/>
          <w:sz w:val="32"/>
          <w:szCs w:val="32"/>
        </w:rPr>
        <w:t xml:space="preserve">низкие </w:t>
      </w:r>
      <w:r w:rsidR="00175707" w:rsidRPr="000B3E66">
        <w:rPr>
          <w:rFonts w:ascii="Times New Roman" w:eastAsia="Calibri" w:hAnsi="Times New Roman" w:cs="Times New Roman"/>
          <w:sz w:val="28"/>
          <w:szCs w:val="28"/>
        </w:rPr>
        <w:t xml:space="preserve">показатели факторов защиты  </w:t>
      </w:r>
      <w:r w:rsidR="00175707" w:rsidRPr="000B3E66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</w:t>
      </w:r>
      <w:r w:rsidR="00175707">
        <w:rPr>
          <w:rFonts w:ascii="Times New Roman" w:eastAsia="Calibri" w:hAnsi="Times New Roman" w:cs="Times New Roman"/>
          <w:b/>
          <w:sz w:val="28"/>
          <w:szCs w:val="28"/>
        </w:rPr>
        <w:t xml:space="preserve"> (ПР)</w:t>
      </w:r>
      <w:r w:rsidR="00175707" w:rsidRPr="000B3E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75707" w:rsidRPr="000B3E66">
        <w:rPr>
          <w:rFonts w:ascii="Times New Roman" w:eastAsia="Calibri" w:hAnsi="Times New Roman" w:cs="Times New Roman"/>
          <w:b/>
          <w:sz w:val="28"/>
          <w:szCs w:val="28"/>
        </w:rPr>
        <w:t>«Принятие одноклассниками»</w:t>
      </w:r>
      <w:r w:rsidR="00175707">
        <w:rPr>
          <w:rFonts w:ascii="Times New Roman" w:eastAsia="Calibri" w:hAnsi="Times New Roman" w:cs="Times New Roman"/>
          <w:b/>
          <w:sz w:val="28"/>
          <w:szCs w:val="28"/>
        </w:rPr>
        <w:t xml:space="preserve"> (ПО)</w:t>
      </w:r>
      <w:r w:rsidR="00175707" w:rsidRPr="000B3E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5707" w:rsidRPr="000B3E66">
        <w:rPr>
          <w:rFonts w:ascii="Times New Roman" w:eastAsia="Calibri" w:hAnsi="Times New Roman" w:cs="Times New Roman"/>
          <w:sz w:val="28"/>
          <w:szCs w:val="28"/>
        </w:rPr>
        <w:t>(</w:t>
      </w:r>
      <w:r w:rsidR="00175707" w:rsidRPr="000B3E66">
        <w:rPr>
          <w:rFonts w:ascii="Times New Roman" w:eastAsia="Calibri" w:hAnsi="Times New Roman" w:cs="Times New Roman"/>
          <w:i/>
          <w:sz w:val="28"/>
          <w:szCs w:val="28"/>
        </w:rPr>
        <w:t>т.е.  профили этих об</w:t>
      </w:r>
      <w:r w:rsidR="00175707">
        <w:rPr>
          <w:rFonts w:ascii="Times New Roman" w:eastAsia="Calibri" w:hAnsi="Times New Roman" w:cs="Times New Roman"/>
          <w:i/>
          <w:sz w:val="28"/>
          <w:szCs w:val="28"/>
        </w:rPr>
        <w:t>учающихся содержат как минимум 3</w:t>
      </w:r>
      <w:r w:rsidR="00E01E8F">
        <w:rPr>
          <w:rFonts w:ascii="Times New Roman" w:eastAsia="Calibri" w:hAnsi="Times New Roman" w:cs="Times New Roman"/>
          <w:i/>
          <w:sz w:val="28"/>
          <w:szCs w:val="28"/>
        </w:rPr>
        <w:t xml:space="preserve"> данных</w:t>
      </w:r>
      <w:r w:rsidR="00175707" w:rsidRPr="000B3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75707">
        <w:rPr>
          <w:rFonts w:ascii="Times New Roman" w:eastAsia="Calibri" w:hAnsi="Times New Roman" w:cs="Times New Roman"/>
          <w:i/>
          <w:sz w:val="28"/>
          <w:szCs w:val="28"/>
        </w:rPr>
        <w:t>красных квадрата!).</w:t>
      </w:r>
    </w:p>
    <w:p w:rsidR="00057BCE" w:rsidRPr="00057BCE" w:rsidRDefault="00057BCE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7BCE">
        <w:rPr>
          <w:rFonts w:ascii="Times New Roman" w:eastAsia="Calibri" w:hAnsi="Times New Roman" w:cs="Times New Roman"/>
          <w:b/>
          <w:sz w:val="28"/>
          <w:szCs w:val="28"/>
          <w:u w:val="single"/>
        </w:rPr>
        <w:t>Четвертый показатель</w:t>
      </w:r>
      <w:r w:rsidR="00AE521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AE5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707" w:rsidRPr="00E013A9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175707" w:rsidRPr="00F636E1">
        <w:rPr>
          <w:rFonts w:ascii="Times New Roman" w:eastAsia="Calibri" w:hAnsi="Times New Roman" w:cs="Times New Roman"/>
          <w:sz w:val="28"/>
          <w:szCs w:val="28"/>
        </w:rPr>
        <w:t>, имеющие в своем профиле</w:t>
      </w:r>
      <w:r w:rsidR="00175707" w:rsidRPr="00C0586B">
        <w:rPr>
          <w:rFonts w:ascii="Times New Roman" w:eastAsia="Calibri" w:hAnsi="Times New Roman" w:cs="Times New Roman"/>
          <w:b/>
          <w:sz w:val="32"/>
          <w:szCs w:val="32"/>
        </w:rPr>
        <w:t xml:space="preserve"> низкие </w:t>
      </w:r>
      <w:r w:rsidR="00175707" w:rsidRPr="0048053A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175707" w:rsidRPr="0048053A">
        <w:rPr>
          <w:rFonts w:ascii="Times New Roman" w:eastAsia="Calibri" w:hAnsi="Times New Roman" w:cs="Times New Roman"/>
          <w:b/>
          <w:sz w:val="28"/>
          <w:szCs w:val="28"/>
        </w:rPr>
        <w:t>большинства факторов защиты</w:t>
      </w:r>
      <w:r w:rsidR="00175707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707">
        <w:rPr>
          <w:rFonts w:ascii="Times New Roman" w:eastAsia="Calibri" w:hAnsi="Times New Roman" w:cs="Times New Roman"/>
          <w:i/>
          <w:sz w:val="28"/>
          <w:szCs w:val="28"/>
        </w:rPr>
        <w:t>(минимум 4</w:t>
      </w:r>
      <w:r w:rsidR="00175707" w:rsidRPr="00C0586B">
        <w:rPr>
          <w:rFonts w:ascii="Times New Roman" w:eastAsia="Calibri" w:hAnsi="Times New Roman" w:cs="Times New Roman"/>
          <w:i/>
          <w:sz w:val="28"/>
          <w:szCs w:val="28"/>
        </w:rPr>
        <w:t xml:space="preserve"> фактора защиты выделены красным цветом!)</w:t>
      </w:r>
      <w:r w:rsidR="0017570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58F2" w:rsidRDefault="00F00326" w:rsidP="003B1263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9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2D6770">
        <w:rPr>
          <w:rFonts w:ascii="Times New Roman" w:eastAsia="Calibri" w:hAnsi="Times New Roman" w:cs="Times New Roman"/>
          <w:sz w:val="28"/>
          <w:szCs w:val="28"/>
        </w:rPr>
        <w:t xml:space="preserve">, имеющие </w:t>
      </w:r>
      <w:r w:rsidR="00AE521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одному из этих четыр</w:t>
      </w:r>
      <w:r w:rsidR="002D6770" w:rsidRPr="00936BCE">
        <w:rPr>
          <w:rFonts w:ascii="Times New Roman" w:eastAsia="Calibri" w:hAnsi="Times New Roman" w:cs="Times New Roman"/>
          <w:b/>
          <w:sz w:val="28"/>
          <w:szCs w:val="28"/>
          <w:u w:val="single"/>
        </w:rPr>
        <w:t>ех показателей</w:t>
      </w:r>
      <w:r w:rsidR="00936BCE">
        <w:rPr>
          <w:rFonts w:ascii="Times New Roman" w:eastAsia="Calibri" w:hAnsi="Times New Roman" w:cs="Times New Roman"/>
          <w:sz w:val="28"/>
          <w:szCs w:val="28"/>
        </w:rPr>
        <w:t xml:space="preserve"> выраженные значения</w:t>
      </w:r>
      <w:r w:rsidR="00B42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16D"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 w:rsidR="00B4216D">
        <w:rPr>
          <w:rFonts w:ascii="Times New Roman" w:eastAsia="Calibri" w:hAnsi="Times New Roman" w:cs="Times New Roman"/>
          <w:i/>
          <w:sz w:val="28"/>
          <w:szCs w:val="28"/>
        </w:rPr>
        <w:t>в профиле красным цветом</w:t>
      </w:r>
      <w:r w:rsidR="00B4216D" w:rsidRPr="00C0586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936B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0ED0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ED0">
        <w:rPr>
          <w:rFonts w:ascii="Times New Roman" w:eastAsia="Calibri" w:hAnsi="Times New Roman" w:cs="Times New Roman"/>
          <w:sz w:val="28"/>
          <w:szCs w:val="28"/>
        </w:rPr>
        <w:t>быть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отнесены к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возможного риска суицидального поведения и </w:t>
      </w:r>
      <w:r w:rsidRPr="00C0586B">
        <w:rPr>
          <w:rFonts w:ascii="Times New Roman" w:eastAsia="Calibri" w:hAnsi="Times New Roman" w:cs="Times New Roman"/>
          <w:sz w:val="28"/>
          <w:szCs w:val="28"/>
        </w:rPr>
        <w:t>подвергнуты углубленному психолого-педагогическому изучению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(углубленной психодиагностике)</w:t>
      </w:r>
      <w:r w:rsidR="00E00ED0">
        <w:rPr>
          <w:rFonts w:ascii="Times New Roman" w:eastAsia="Calibri" w:hAnsi="Times New Roman" w:cs="Times New Roman"/>
          <w:sz w:val="28"/>
          <w:szCs w:val="28"/>
        </w:rPr>
        <w:t xml:space="preserve"> с целью определения степени возможного риска</w:t>
      </w:r>
      <w:r w:rsidRPr="00C05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707" w:rsidRDefault="00175707" w:rsidP="007910E9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FF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487E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EFF">
        <w:rPr>
          <w:rFonts w:ascii="Times New Roman" w:hAnsi="Times New Roman" w:cs="Times New Roman"/>
          <w:b/>
          <w:sz w:val="28"/>
          <w:szCs w:val="28"/>
        </w:rPr>
        <w:t>, имеющих риск возможного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агрессив</w:t>
      </w:r>
      <w:r w:rsidRPr="00487EFF">
        <w:rPr>
          <w:rFonts w:ascii="Times New Roman" w:hAnsi="Times New Roman" w:cs="Times New Roman"/>
          <w:b/>
          <w:sz w:val="28"/>
          <w:szCs w:val="28"/>
        </w:rPr>
        <w:t>ного поведения:</w:t>
      </w:r>
    </w:p>
    <w:p w:rsidR="00AE395D" w:rsidRDefault="00AE395D" w:rsidP="00AE395D">
      <w:pPr>
        <w:pStyle w:val="a3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Во-первых, обучающиеся, имеющие в профиле в разделе </w:t>
      </w:r>
      <w:r w:rsidRPr="00AE5211">
        <w:rPr>
          <w:rFonts w:ascii="Times New Roman" w:eastAsia="Calibri" w:hAnsi="Times New Roman" w:cs="Times New Roman"/>
          <w:b/>
          <w:sz w:val="28"/>
          <w:szCs w:val="28"/>
        </w:rPr>
        <w:t>«Дополнительные признаки»</w:t>
      </w:r>
      <w:r>
        <w:rPr>
          <w:rFonts w:ascii="Times New Roman" w:eastAsia="Calibri" w:hAnsi="Times New Roman" w:cs="Times New Roman"/>
          <w:b/>
          <w:sz w:val="28"/>
          <w:szCs w:val="28"/>
        </w:rPr>
        <w:t>: «Повышенный риск агрессивно</w:t>
      </w:r>
      <w:r w:rsidRPr="00AE5211">
        <w:rPr>
          <w:rFonts w:ascii="Times New Roman" w:eastAsia="Calibri" w:hAnsi="Times New Roman" w:cs="Times New Roman"/>
          <w:b/>
          <w:sz w:val="28"/>
          <w:szCs w:val="28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(экстремистского)</w:t>
      </w:r>
      <w:r w:rsidRPr="00AE5211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Каждый обучающийся, имеющий положительный результат по повышенному риску </w:t>
      </w:r>
      <w:r w:rsidRPr="00AE395D">
        <w:rPr>
          <w:rFonts w:ascii="Times New Roman" w:eastAsia="Calibri" w:hAnsi="Times New Roman" w:cs="Times New Roman"/>
          <w:sz w:val="28"/>
          <w:szCs w:val="28"/>
        </w:rPr>
        <w:t>агрессивного (экстремистского)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поведения, должен подвергнуться процедуре углубленной психодиагностике и обсуждению возможного риска на коллегиальном органе ОО (Совет профилактики ОО).</w:t>
      </w:r>
    </w:p>
    <w:p w:rsidR="00AE395D" w:rsidRDefault="00AE395D" w:rsidP="00AE395D">
      <w:pPr>
        <w:pStyle w:val="a3"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о</w:t>
      </w:r>
      <w:r w:rsidRPr="00AE395D">
        <w:rPr>
          <w:rFonts w:ascii="Times New Roman" w:hAnsi="Times New Roman" w:cs="Times New Roman"/>
          <w:sz w:val="28"/>
          <w:szCs w:val="28"/>
        </w:rPr>
        <w:t xml:space="preserve">бучающиеся, имеющие в своем профиле высокие показатели факторов риска </w:t>
      </w:r>
      <w:r w:rsidRPr="00AE395D">
        <w:rPr>
          <w:rFonts w:ascii="Times New Roman" w:hAnsi="Times New Roman" w:cs="Times New Roman"/>
          <w:b/>
          <w:sz w:val="28"/>
          <w:szCs w:val="28"/>
        </w:rPr>
        <w:t>«Импульсивность» (ИМ), «Тревожность» (</w:t>
      </w:r>
      <w:proofErr w:type="gramStart"/>
      <w:r w:rsidRPr="00AE395D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AE395D">
        <w:rPr>
          <w:rFonts w:ascii="Times New Roman" w:hAnsi="Times New Roman" w:cs="Times New Roman"/>
          <w:b/>
          <w:sz w:val="28"/>
          <w:szCs w:val="28"/>
        </w:rPr>
        <w:t>) и «</w:t>
      </w:r>
      <w:proofErr w:type="spellStart"/>
      <w:r w:rsidRPr="00AE395D">
        <w:rPr>
          <w:rFonts w:ascii="Times New Roman" w:hAnsi="Times New Roman" w:cs="Times New Roman"/>
          <w:b/>
          <w:sz w:val="28"/>
          <w:szCs w:val="28"/>
        </w:rPr>
        <w:t>Фрустрированность</w:t>
      </w:r>
      <w:proofErr w:type="spellEnd"/>
      <w:r w:rsidRPr="00AE395D">
        <w:rPr>
          <w:rFonts w:ascii="Times New Roman" w:hAnsi="Times New Roman" w:cs="Times New Roman"/>
          <w:b/>
          <w:sz w:val="28"/>
          <w:szCs w:val="28"/>
        </w:rPr>
        <w:t>» (ФР)</w:t>
      </w:r>
      <w:r w:rsidRPr="00AE395D">
        <w:rPr>
          <w:rFonts w:ascii="Times New Roman" w:hAnsi="Times New Roman" w:cs="Times New Roman"/>
          <w:sz w:val="28"/>
          <w:szCs w:val="28"/>
        </w:rPr>
        <w:t xml:space="preserve"> и низкие показатели факторов защиты </w:t>
      </w:r>
      <w:r w:rsidRPr="00AE395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AE395D">
        <w:rPr>
          <w:rFonts w:ascii="Times New Roman" w:hAnsi="Times New Roman" w:cs="Times New Roman"/>
          <w:b/>
          <w:sz w:val="28"/>
          <w:szCs w:val="28"/>
        </w:rPr>
        <w:t>Фрустрационная</w:t>
      </w:r>
      <w:proofErr w:type="spellEnd"/>
      <w:r w:rsidRPr="00AE395D">
        <w:rPr>
          <w:rFonts w:ascii="Times New Roman" w:hAnsi="Times New Roman" w:cs="Times New Roman"/>
          <w:b/>
          <w:sz w:val="28"/>
          <w:szCs w:val="28"/>
        </w:rPr>
        <w:t xml:space="preserve"> устойчивость» (ФУ) и «Самоконтроль поведения» (СП)</w:t>
      </w:r>
      <w:r w:rsidRPr="00AE395D">
        <w:rPr>
          <w:rFonts w:ascii="Times New Roman" w:hAnsi="Times New Roman" w:cs="Times New Roman"/>
          <w:sz w:val="28"/>
          <w:szCs w:val="28"/>
        </w:rPr>
        <w:t xml:space="preserve"> (все пять факторов отмечены в профиле красным цветом), </w:t>
      </w:r>
      <w:r w:rsidRPr="00057BCE">
        <w:rPr>
          <w:rFonts w:ascii="Times New Roman" w:eastAsia="Calibri" w:hAnsi="Times New Roman" w:cs="Times New Roman"/>
          <w:sz w:val="28"/>
          <w:szCs w:val="28"/>
        </w:rPr>
        <w:t xml:space="preserve">учитывая показатель </w:t>
      </w:r>
      <w:r w:rsidRPr="00AE5211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 (ПР)</w:t>
      </w:r>
      <w:r>
        <w:rPr>
          <w:rFonts w:ascii="Times New Roman" w:eastAsia="Calibri" w:hAnsi="Times New Roman" w:cs="Times New Roman"/>
          <w:b/>
          <w:sz w:val="28"/>
          <w:szCs w:val="28"/>
        </w:rPr>
        <w:t>,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т.е. чем ниже балл по стенам </w:t>
      </w:r>
      <w:r w:rsidRPr="00AE395D">
        <w:rPr>
          <w:rFonts w:ascii="Times New Roman" w:eastAsia="Calibri" w:hAnsi="Times New Roman" w:cs="Times New Roman"/>
          <w:b/>
          <w:sz w:val="28"/>
          <w:szCs w:val="28"/>
        </w:rPr>
        <w:t>(ПР)</w:t>
      </w:r>
      <w:r>
        <w:rPr>
          <w:rFonts w:ascii="Times New Roman" w:eastAsia="Calibri" w:hAnsi="Times New Roman" w:cs="Times New Roman"/>
          <w:sz w:val="28"/>
          <w:szCs w:val="28"/>
        </w:rPr>
        <w:t>, тем выше вероятность агрессивного поведения)</w:t>
      </w:r>
      <w:r w:rsidRPr="00057B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8E8" w:rsidRPr="002978E8" w:rsidRDefault="002978E8" w:rsidP="002978E8">
      <w:pPr>
        <w:pStyle w:val="a3"/>
        <w:numPr>
          <w:ilvl w:val="0"/>
          <w:numId w:val="3"/>
        </w:numPr>
        <w:spacing w:after="0" w:line="360" w:lineRule="auto"/>
        <w:ind w:hanging="642"/>
        <w:jc w:val="both"/>
        <w:rPr>
          <w:rFonts w:ascii="Times New Roman" w:hAnsi="Times New Roman" w:cs="Times New Roman"/>
          <w:sz w:val="28"/>
          <w:szCs w:val="28"/>
        </w:rPr>
      </w:pPr>
      <w:r w:rsidRPr="00487EFF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487E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EFF">
        <w:rPr>
          <w:rFonts w:ascii="Times New Roman" w:hAnsi="Times New Roman" w:cs="Times New Roman"/>
          <w:b/>
          <w:sz w:val="28"/>
          <w:szCs w:val="28"/>
        </w:rPr>
        <w:t>, имеющих риск</w:t>
      </w:r>
      <w:r w:rsidRPr="002978E8">
        <w:rPr>
          <w:rFonts w:ascii="Times New Roman" w:hAnsi="Times New Roman" w:cs="Times New Roman"/>
          <w:sz w:val="28"/>
          <w:szCs w:val="28"/>
        </w:rPr>
        <w:t xml:space="preserve"> </w:t>
      </w:r>
      <w:r w:rsidRPr="002978E8">
        <w:rPr>
          <w:rFonts w:ascii="Times New Roman" w:hAnsi="Times New Roman" w:cs="Times New Roman"/>
          <w:b/>
          <w:sz w:val="28"/>
          <w:szCs w:val="28"/>
        </w:rPr>
        <w:t>быть жертвой травли:</w:t>
      </w:r>
    </w:p>
    <w:p w:rsidR="00AE395D" w:rsidRDefault="002978E8" w:rsidP="002978E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8E8">
        <w:rPr>
          <w:rFonts w:ascii="Times New Roman" w:hAnsi="Times New Roman" w:cs="Times New Roman"/>
          <w:sz w:val="28"/>
          <w:szCs w:val="28"/>
        </w:rPr>
        <w:t xml:space="preserve">Обучающиеся, имеющие в своем профиле высокие показатели факторов риска </w:t>
      </w:r>
      <w:r w:rsidRPr="002978E8">
        <w:rPr>
          <w:rFonts w:ascii="Times New Roman" w:hAnsi="Times New Roman" w:cs="Times New Roman"/>
          <w:b/>
          <w:sz w:val="28"/>
          <w:szCs w:val="28"/>
        </w:rPr>
        <w:t>«Тревожность» (</w:t>
      </w:r>
      <w:proofErr w:type="gramStart"/>
      <w:r w:rsidRPr="002978E8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2978E8">
        <w:rPr>
          <w:rFonts w:ascii="Times New Roman" w:hAnsi="Times New Roman" w:cs="Times New Roman"/>
          <w:b/>
          <w:sz w:val="28"/>
          <w:szCs w:val="28"/>
        </w:rPr>
        <w:t>) и «</w:t>
      </w:r>
      <w:proofErr w:type="spellStart"/>
      <w:r w:rsidRPr="002978E8">
        <w:rPr>
          <w:rFonts w:ascii="Times New Roman" w:hAnsi="Times New Roman" w:cs="Times New Roman"/>
          <w:b/>
          <w:sz w:val="28"/>
          <w:szCs w:val="28"/>
        </w:rPr>
        <w:t>Фрустрированность</w:t>
      </w:r>
      <w:proofErr w:type="spellEnd"/>
      <w:r w:rsidRPr="002978E8">
        <w:rPr>
          <w:rFonts w:ascii="Times New Roman" w:hAnsi="Times New Roman" w:cs="Times New Roman"/>
          <w:b/>
          <w:sz w:val="28"/>
          <w:szCs w:val="28"/>
        </w:rPr>
        <w:t>» (ФР)</w:t>
      </w:r>
      <w:r w:rsidRPr="002978E8">
        <w:rPr>
          <w:rFonts w:ascii="Times New Roman" w:hAnsi="Times New Roman" w:cs="Times New Roman"/>
          <w:sz w:val="28"/>
          <w:szCs w:val="28"/>
        </w:rPr>
        <w:t xml:space="preserve"> и низкие показатели факторов защиты </w:t>
      </w:r>
      <w:r w:rsidRPr="002978E8">
        <w:rPr>
          <w:rFonts w:ascii="Times New Roman" w:hAnsi="Times New Roman" w:cs="Times New Roman"/>
          <w:b/>
          <w:sz w:val="28"/>
          <w:szCs w:val="28"/>
        </w:rPr>
        <w:t>«Принятие одноклассниками» (ПО) и «</w:t>
      </w:r>
      <w:proofErr w:type="spellStart"/>
      <w:r w:rsidRPr="002978E8">
        <w:rPr>
          <w:rFonts w:ascii="Times New Roman" w:hAnsi="Times New Roman" w:cs="Times New Roman"/>
          <w:b/>
          <w:sz w:val="28"/>
          <w:szCs w:val="28"/>
        </w:rPr>
        <w:t>Адаптированность</w:t>
      </w:r>
      <w:proofErr w:type="spellEnd"/>
      <w:r w:rsidRPr="002978E8">
        <w:rPr>
          <w:rFonts w:ascii="Times New Roman" w:hAnsi="Times New Roman" w:cs="Times New Roman"/>
          <w:b/>
          <w:sz w:val="28"/>
          <w:szCs w:val="28"/>
        </w:rPr>
        <w:t xml:space="preserve"> к нормам» (СП)</w:t>
      </w:r>
      <w:r w:rsidRPr="002978E8">
        <w:rPr>
          <w:rFonts w:ascii="Times New Roman" w:hAnsi="Times New Roman" w:cs="Times New Roman"/>
          <w:sz w:val="28"/>
          <w:szCs w:val="28"/>
        </w:rPr>
        <w:t xml:space="preserve"> (все четыре фактора отмечены в профиле красным цветом).</w:t>
      </w:r>
    </w:p>
    <w:p w:rsidR="00E01E8F" w:rsidRPr="00E01E8F" w:rsidRDefault="00E01E8F" w:rsidP="002978E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E8F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Выявление обучающихся, имеющих в своем профиле низкие показатели </w:t>
      </w:r>
      <w:r w:rsidRPr="00AE5211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 (</w:t>
      </w:r>
      <w:proofErr w:type="gramStart"/>
      <w:r w:rsidRPr="00AE5211">
        <w:rPr>
          <w:rFonts w:ascii="Times New Roman" w:eastAsia="Calibri" w:hAnsi="Times New Roman" w:cs="Times New Roman"/>
          <w:b/>
          <w:sz w:val="28"/>
          <w:szCs w:val="28"/>
        </w:rPr>
        <w:t>ПР</w:t>
      </w:r>
      <w:proofErr w:type="gramEnd"/>
      <w:r w:rsidRPr="00AE5211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>
        <w:rPr>
          <w:rFonts w:ascii="Times New Roman" w:eastAsia="Calibri" w:hAnsi="Times New Roman" w:cs="Times New Roman"/>
          <w:i/>
          <w:sz w:val="28"/>
          <w:szCs w:val="28"/>
        </w:rPr>
        <w:t>в профиле красным цветом</w:t>
      </w:r>
      <w:r w:rsidRPr="00C0586B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обучающиеся (высочайшей, высокой и </w:t>
      </w:r>
      <w:r w:rsidRPr="00330818">
        <w:rPr>
          <w:rFonts w:ascii="Times New Roman" w:eastAsia="Calibri" w:hAnsi="Times New Roman" w:cs="Times New Roman"/>
          <w:b/>
          <w:sz w:val="28"/>
          <w:szCs w:val="28"/>
          <w:u w:val="single"/>
        </w:rPr>
        <w:t>НИЗКОЙ вероятности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рискового поведения), имеющие в своих профилях </w:t>
      </w:r>
      <w:r w:rsidRPr="00E01E8F">
        <w:rPr>
          <w:rFonts w:ascii="Times New Roman" w:eastAsia="Calibri" w:hAnsi="Times New Roman" w:cs="Times New Roman"/>
          <w:sz w:val="28"/>
          <w:szCs w:val="28"/>
        </w:rPr>
        <w:t xml:space="preserve">низкие показатели </w:t>
      </w:r>
      <w:r w:rsidRPr="00E01E8F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 (</w:t>
      </w:r>
      <w:proofErr w:type="gramStart"/>
      <w:r w:rsidRPr="00E01E8F">
        <w:rPr>
          <w:rFonts w:ascii="Times New Roman" w:eastAsia="Calibri" w:hAnsi="Times New Roman" w:cs="Times New Roman"/>
          <w:b/>
          <w:sz w:val="28"/>
          <w:szCs w:val="28"/>
        </w:rPr>
        <w:t>ПР</w:t>
      </w:r>
      <w:proofErr w:type="gramEnd"/>
      <w:r w:rsidRPr="00E01E8F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должны быть подвергнуты углубленной психодиагностике</w:t>
      </w:r>
      <w:r w:rsidR="00330818">
        <w:rPr>
          <w:rFonts w:ascii="Times New Roman" w:eastAsia="Calibri" w:hAnsi="Times New Roman" w:cs="Times New Roman"/>
          <w:sz w:val="28"/>
          <w:szCs w:val="28"/>
        </w:rPr>
        <w:t xml:space="preserve"> на предмет определения </w:t>
      </w:r>
      <w:r w:rsidR="00330818" w:rsidRPr="00330818">
        <w:rPr>
          <w:rFonts w:ascii="Times New Roman" w:eastAsia="Calibri" w:hAnsi="Times New Roman" w:cs="Times New Roman"/>
          <w:b/>
          <w:sz w:val="28"/>
          <w:szCs w:val="28"/>
        </w:rPr>
        <w:t>возможного</w:t>
      </w:r>
      <w:r w:rsidR="00330818">
        <w:rPr>
          <w:rFonts w:ascii="Times New Roman" w:eastAsia="Calibri" w:hAnsi="Times New Roman" w:cs="Times New Roman"/>
          <w:sz w:val="28"/>
          <w:szCs w:val="28"/>
        </w:rPr>
        <w:t xml:space="preserve"> вида деструктивных проявлений с последующим обсуждением результатов </w:t>
      </w:r>
      <w:r w:rsidR="00330818">
        <w:rPr>
          <w:rFonts w:ascii="Times New Roman" w:hAnsi="Times New Roman" w:cs="Times New Roman"/>
          <w:sz w:val="28"/>
          <w:szCs w:val="28"/>
        </w:rPr>
        <w:t>на коллегиальном органе ОО (Совет профилактики, психолого-педагогический консилиум, Штаб воспитательной работы).</w:t>
      </w:r>
    </w:p>
    <w:p w:rsidR="00487EFF" w:rsidRDefault="00330818" w:rsidP="000206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B3E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>Проведение углубленной психодиагностической работы</w:t>
      </w:r>
      <w:r w:rsidR="009B233D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058F2" w:rsidRPr="000B3E6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A058F2" w:rsidRPr="000B3E66">
        <w:rPr>
          <w:rFonts w:ascii="Times New Roman" w:hAnsi="Times New Roman" w:cs="Times New Roman"/>
          <w:b/>
          <w:sz w:val="28"/>
          <w:szCs w:val="28"/>
        </w:rPr>
        <w:t>, выявленными в О</w:t>
      </w:r>
      <w:r w:rsidR="006019CC">
        <w:rPr>
          <w:rFonts w:ascii="Times New Roman" w:hAnsi="Times New Roman" w:cs="Times New Roman"/>
          <w:b/>
          <w:sz w:val="28"/>
          <w:szCs w:val="28"/>
        </w:rPr>
        <w:t>О в ходе анализа</w:t>
      </w:r>
      <w:r w:rsidR="001E34E1" w:rsidRPr="000B3E66">
        <w:rPr>
          <w:rFonts w:ascii="Times New Roman" w:hAnsi="Times New Roman" w:cs="Times New Roman"/>
          <w:b/>
          <w:sz w:val="28"/>
          <w:szCs w:val="28"/>
        </w:rPr>
        <w:t>, указанно</w:t>
      </w:r>
      <w:r w:rsidR="006019CC">
        <w:rPr>
          <w:rFonts w:ascii="Times New Roman" w:hAnsi="Times New Roman" w:cs="Times New Roman"/>
          <w:b/>
          <w:sz w:val="28"/>
          <w:szCs w:val="28"/>
        </w:rPr>
        <w:t>го</w:t>
      </w:r>
      <w:r w:rsidR="001E34E1" w:rsidRPr="000B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26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E1208">
        <w:rPr>
          <w:rFonts w:ascii="Times New Roman" w:hAnsi="Times New Roman" w:cs="Times New Roman"/>
          <w:b/>
          <w:sz w:val="28"/>
          <w:szCs w:val="28"/>
        </w:rPr>
        <w:t>п</w:t>
      </w:r>
      <w:r w:rsidR="003B126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1E34E1" w:rsidRPr="000B3E66">
        <w:rPr>
          <w:rFonts w:ascii="Times New Roman" w:hAnsi="Times New Roman" w:cs="Times New Roman"/>
          <w:b/>
          <w:sz w:val="28"/>
          <w:szCs w:val="28"/>
        </w:rPr>
        <w:t>. 2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0313" w:rsidRPr="000B3E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>.</w:t>
      </w:r>
    </w:p>
    <w:p w:rsidR="004D4E5D" w:rsidRPr="00487EFF" w:rsidRDefault="00A058F2" w:rsidP="000206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1B">
        <w:rPr>
          <w:rFonts w:ascii="Times New Roman" w:hAnsi="Times New Roman" w:cs="Times New Roman"/>
          <w:sz w:val="28"/>
          <w:szCs w:val="28"/>
        </w:rPr>
        <w:t>Углубленная психодиагностика</w:t>
      </w:r>
      <w:r w:rsidR="00F86E1B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вида</w:t>
      </w:r>
      <w:r w:rsidR="000E1208">
        <w:rPr>
          <w:rFonts w:ascii="Times New Roman" w:hAnsi="Times New Roman" w:cs="Times New Roman"/>
          <w:sz w:val="28"/>
          <w:szCs w:val="28"/>
        </w:rPr>
        <w:t xml:space="preserve"> и степени риска</w:t>
      </w:r>
      <w:r w:rsidR="00F86E1B">
        <w:rPr>
          <w:rFonts w:ascii="Times New Roman" w:hAnsi="Times New Roman" w:cs="Times New Roman"/>
          <w:sz w:val="28"/>
          <w:szCs w:val="28"/>
        </w:rPr>
        <w:t xml:space="preserve"> возможного деструктивного поведения у обучающихся, выявленных в ходе анализа результатов СПТ. </w:t>
      </w:r>
    </w:p>
    <w:p w:rsidR="00F037E4" w:rsidRDefault="00F86E1B" w:rsidP="007911D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углубленной психодиагностики занимаются специалисты пси</w:t>
      </w:r>
      <w:r w:rsidR="00F037E4">
        <w:rPr>
          <w:rFonts w:ascii="Times New Roman" w:hAnsi="Times New Roman" w:cs="Times New Roman"/>
          <w:sz w:val="28"/>
          <w:szCs w:val="28"/>
        </w:rPr>
        <w:t xml:space="preserve">холого </w:t>
      </w:r>
      <w:r w:rsidR="004D4E5D">
        <w:rPr>
          <w:rFonts w:ascii="Times New Roman" w:hAnsi="Times New Roman" w:cs="Times New Roman"/>
          <w:sz w:val="28"/>
          <w:szCs w:val="28"/>
        </w:rPr>
        <w:t xml:space="preserve">- </w:t>
      </w:r>
      <w:r w:rsidR="00F037E4">
        <w:rPr>
          <w:rFonts w:ascii="Times New Roman" w:hAnsi="Times New Roman" w:cs="Times New Roman"/>
          <w:sz w:val="28"/>
          <w:szCs w:val="28"/>
        </w:rPr>
        <w:t>педагогической службы ОО с использованием психодиагностических методик, указанных в данных рекомендациях</w:t>
      </w:r>
      <w:r w:rsidR="005C729B">
        <w:rPr>
          <w:rFonts w:ascii="Times New Roman" w:hAnsi="Times New Roman" w:cs="Times New Roman"/>
          <w:sz w:val="28"/>
          <w:szCs w:val="28"/>
        </w:rPr>
        <w:t xml:space="preserve"> (См</w:t>
      </w:r>
      <w:r w:rsidR="00F037E4">
        <w:rPr>
          <w:rFonts w:ascii="Times New Roman" w:hAnsi="Times New Roman" w:cs="Times New Roman"/>
          <w:sz w:val="28"/>
          <w:szCs w:val="28"/>
        </w:rPr>
        <w:t>.</w:t>
      </w:r>
      <w:r w:rsidR="000E1208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="005C729B">
        <w:rPr>
          <w:rFonts w:ascii="Times New Roman" w:hAnsi="Times New Roman" w:cs="Times New Roman"/>
          <w:sz w:val="28"/>
          <w:szCs w:val="28"/>
        </w:rPr>
        <w:t>).</w:t>
      </w:r>
      <w:r w:rsidR="00F0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5C" w:rsidRPr="00A67324" w:rsidRDefault="00E00ED0" w:rsidP="007911D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результаты проведенной углубленной психодиагностики</w:t>
      </w:r>
      <w:r w:rsidR="004A6371">
        <w:rPr>
          <w:rFonts w:ascii="Times New Roman" w:hAnsi="Times New Roman" w:cs="Times New Roman"/>
          <w:sz w:val="28"/>
          <w:szCs w:val="28"/>
        </w:rPr>
        <w:t xml:space="preserve"> не могут быть </w:t>
      </w:r>
      <w:r w:rsidR="004A6371" w:rsidRPr="004D4E5D">
        <w:rPr>
          <w:rFonts w:ascii="Times New Roman" w:hAnsi="Times New Roman" w:cs="Times New Roman"/>
          <w:b/>
          <w:sz w:val="28"/>
          <w:szCs w:val="28"/>
        </w:rPr>
        <w:t>абсолютно решающими</w:t>
      </w:r>
      <w:r w:rsidR="004A6371">
        <w:rPr>
          <w:rFonts w:ascii="Times New Roman" w:hAnsi="Times New Roman" w:cs="Times New Roman"/>
          <w:sz w:val="28"/>
          <w:szCs w:val="28"/>
        </w:rPr>
        <w:t xml:space="preserve"> в определении вида и степени риска того или иного деструктивного поведения обучающегося. Они являются точко</w:t>
      </w:r>
      <w:r w:rsidR="003B1263">
        <w:rPr>
          <w:rFonts w:ascii="Times New Roman" w:hAnsi="Times New Roman" w:cs="Times New Roman"/>
          <w:sz w:val="28"/>
          <w:szCs w:val="28"/>
        </w:rPr>
        <w:t xml:space="preserve">й зрения педагога - </w:t>
      </w:r>
      <w:r w:rsidR="004A6371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4D4E5D">
        <w:rPr>
          <w:rFonts w:ascii="Times New Roman" w:hAnsi="Times New Roman" w:cs="Times New Roman"/>
          <w:sz w:val="28"/>
          <w:szCs w:val="28"/>
        </w:rPr>
        <w:t xml:space="preserve">психолого - педагогической службы ОО </w:t>
      </w:r>
      <w:r w:rsidR="004A6371">
        <w:rPr>
          <w:rFonts w:ascii="Times New Roman" w:hAnsi="Times New Roman" w:cs="Times New Roman"/>
          <w:sz w:val="28"/>
          <w:szCs w:val="28"/>
        </w:rPr>
        <w:t xml:space="preserve">на степень и вид риска возможных деструктивных проявлений. </w:t>
      </w:r>
      <w:r w:rsidR="004A6371">
        <w:rPr>
          <w:rFonts w:ascii="Times New Roman" w:hAnsi="Times New Roman" w:cs="Times New Roman"/>
          <w:sz w:val="28"/>
          <w:szCs w:val="28"/>
        </w:rPr>
        <w:lastRenderedPageBreak/>
        <w:t>Определяющее решение о виде и степени риска каждого конкретного обучающегося принимается на коллегиальном органе ОО (</w:t>
      </w:r>
      <w:r w:rsidR="00330818">
        <w:rPr>
          <w:rFonts w:ascii="Times New Roman" w:hAnsi="Times New Roman" w:cs="Times New Roman"/>
          <w:sz w:val="28"/>
          <w:szCs w:val="28"/>
        </w:rPr>
        <w:t>Совет профилактики, психолого-педагогический консилиум, Штаб воспитательной работы</w:t>
      </w:r>
      <w:r w:rsidR="00A67324">
        <w:rPr>
          <w:rFonts w:ascii="Times New Roman" w:hAnsi="Times New Roman" w:cs="Times New Roman"/>
          <w:sz w:val="28"/>
          <w:szCs w:val="28"/>
        </w:rPr>
        <w:t>, наличие и полномочия которых</w:t>
      </w:r>
      <w:r w:rsidR="004D4E5D">
        <w:rPr>
          <w:rFonts w:ascii="Times New Roman" w:hAnsi="Times New Roman" w:cs="Times New Roman"/>
          <w:sz w:val="28"/>
          <w:szCs w:val="28"/>
        </w:rPr>
        <w:t xml:space="preserve"> регламентированы</w:t>
      </w:r>
      <w:r w:rsidR="00A67324">
        <w:rPr>
          <w:rFonts w:ascii="Times New Roman" w:hAnsi="Times New Roman" w:cs="Times New Roman"/>
          <w:sz w:val="28"/>
          <w:szCs w:val="28"/>
        </w:rPr>
        <w:t xml:space="preserve"> </w:t>
      </w:r>
      <w:r w:rsidR="003B126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67324">
        <w:rPr>
          <w:rFonts w:ascii="Times New Roman" w:hAnsi="Times New Roman" w:cs="Times New Roman"/>
          <w:sz w:val="28"/>
          <w:szCs w:val="28"/>
        </w:rPr>
        <w:t>письмом Мин</w:t>
      </w:r>
      <w:r w:rsidR="003B1263">
        <w:rPr>
          <w:rFonts w:ascii="Times New Roman" w:hAnsi="Times New Roman" w:cs="Times New Roman"/>
          <w:sz w:val="28"/>
          <w:szCs w:val="28"/>
        </w:rPr>
        <w:t>истерства П</w:t>
      </w:r>
      <w:r w:rsidR="00A67324">
        <w:rPr>
          <w:rFonts w:ascii="Times New Roman" w:hAnsi="Times New Roman" w:cs="Times New Roman"/>
          <w:sz w:val="28"/>
          <w:szCs w:val="28"/>
        </w:rPr>
        <w:t xml:space="preserve">росвещения РФ от 23.08. 2021 г. № 07-4715, </w:t>
      </w:r>
      <w:r w:rsidR="004D4E5D">
        <w:rPr>
          <w:rFonts w:ascii="Times New Roman" w:hAnsi="Times New Roman" w:cs="Times New Roman"/>
          <w:sz w:val="28"/>
          <w:szCs w:val="28"/>
        </w:rPr>
        <w:t xml:space="preserve"> </w:t>
      </w:r>
      <w:r w:rsidR="004D4E5D" w:rsidRPr="00A67324">
        <w:rPr>
          <w:rFonts w:ascii="Times New Roman" w:hAnsi="Times New Roman" w:cs="Times New Roman"/>
          <w:sz w:val="28"/>
          <w:szCs w:val="28"/>
        </w:rPr>
        <w:t>Распоряжением Мин</w:t>
      </w:r>
      <w:r w:rsidR="003B1263">
        <w:rPr>
          <w:rFonts w:ascii="Times New Roman" w:hAnsi="Times New Roman" w:cs="Times New Roman"/>
          <w:sz w:val="28"/>
          <w:szCs w:val="28"/>
        </w:rPr>
        <w:t>истерства П</w:t>
      </w:r>
      <w:r w:rsidR="004D4E5D" w:rsidRPr="00A67324">
        <w:rPr>
          <w:rFonts w:ascii="Times New Roman" w:hAnsi="Times New Roman" w:cs="Times New Roman"/>
          <w:sz w:val="28"/>
          <w:szCs w:val="28"/>
        </w:rPr>
        <w:t>росвещения Р</w:t>
      </w:r>
      <w:r w:rsidR="00A67324" w:rsidRPr="00A67324">
        <w:rPr>
          <w:rFonts w:ascii="Times New Roman" w:hAnsi="Times New Roman" w:cs="Times New Roman"/>
          <w:sz w:val="28"/>
          <w:szCs w:val="28"/>
        </w:rPr>
        <w:t>Ф от 9 сентября 2019 г. № Р-93</w:t>
      </w:r>
      <w:r w:rsidR="00A67324">
        <w:rPr>
          <w:rFonts w:ascii="Times New Roman" w:hAnsi="Times New Roman" w:cs="Times New Roman"/>
          <w:sz w:val="28"/>
          <w:szCs w:val="28"/>
        </w:rPr>
        <w:t>).</w:t>
      </w:r>
    </w:p>
    <w:p w:rsidR="003B7441" w:rsidRPr="003B1263" w:rsidRDefault="00F037E4" w:rsidP="007911D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углубленной психодиагностики предоставляются администрации ОО и</w:t>
      </w:r>
      <w:r w:rsidR="004D4E5D" w:rsidRPr="004D4E5D">
        <w:rPr>
          <w:rFonts w:ascii="Times New Roman" w:hAnsi="Times New Roman" w:cs="Times New Roman"/>
          <w:sz w:val="28"/>
          <w:szCs w:val="28"/>
        </w:rPr>
        <w:t xml:space="preserve"> </w:t>
      </w:r>
      <w:r w:rsidR="004D4E5D">
        <w:rPr>
          <w:rFonts w:ascii="Times New Roman" w:hAnsi="Times New Roman" w:cs="Times New Roman"/>
          <w:sz w:val="28"/>
          <w:szCs w:val="28"/>
        </w:rPr>
        <w:t>Совету профилактики, или психолого-педагогическому консилиуму</w:t>
      </w:r>
      <w:r w:rsidR="009B233D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D4E5D">
        <w:rPr>
          <w:rFonts w:ascii="Times New Roman" w:hAnsi="Times New Roman" w:cs="Times New Roman"/>
          <w:b/>
          <w:sz w:val="28"/>
          <w:szCs w:val="28"/>
        </w:rPr>
        <w:t>о включении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в ту или</w:t>
      </w:r>
      <w:r w:rsidR="001850BC">
        <w:rPr>
          <w:rFonts w:ascii="Times New Roman" w:hAnsi="Times New Roman" w:cs="Times New Roman"/>
          <w:sz w:val="28"/>
          <w:szCs w:val="28"/>
        </w:rPr>
        <w:t xml:space="preserve"> иную группу риска и </w:t>
      </w:r>
      <w:r w:rsidR="000B3E66" w:rsidRPr="000B3E66">
        <w:rPr>
          <w:rFonts w:ascii="Times New Roman" w:hAnsi="Times New Roman" w:cs="Times New Roman"/>
          <w:b/>
          <w:sz w:val="28"/>
          <w:szCs w:val="28"/>
        </w:rPr>
        <w:t>определении степени</w:t>
      </w:r>
      <w:r>
        <w:rPr>
          <w:rFonts w:ascii="Times New Roman" w:hAnsi="Times New Roman" w:cs="Times New Roman"/>
          <w:sz w:val="28"/>
          <w:szCs w:val="28"/>
        </w:rPr>
        <w:t xml:space="preserve"> этого возможного рискового поведения</w:t>
      </w:r>
      <w:r w:rsidR="003B1263">
        <w:rPr>
          <w:rFonts w:ascii="Times New Roman" w:hAnsi="Times New Roman" w:cs="Times New Roman"/>
          <w:sz w:val="28"/>
          <w:szCs w:val="28"/>
        </w:rPr>
        <w:t>.</w:t>
      </w:r>
    </w:p>
    <w:p w:rsidR="0093779D" w:rsidRDefault="00330818" w:rsidP="000206B6">
      <w:pPr>
        <w:pStyle w:val="a3"/>
        <w:spacing w:after="0" w:line="360" w:lineRule="auto"/>
        <w:ind w:left="0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B3E66" w:rsidRPr="000B3E66">
        <w:rPr>
          <w:rFonts w:ascii="Times New Roman" w:hAnsi="Times New Roman" w:cs="Times New Roman"/>
          <w:b/>
          <w:sz w:val="28"/>
          <w:szCs w:val="28"/>
        </w:rPr>
        <w:t>.</w:t>
      </w:r>
      <w:r w:rsidR="000B3E66">
        <w:rPr>
          <w:rFonts w:ascii="Times New Roman" w:hAnsi="Times New Roman" w:cs="Times New Roman"/>
          <w:sz w:val="28"/>
          <w:szCs w:val="28"/>
        </w:rPr>
        <w:t xml:space="preserve"> </w:t>
      </w:r>
      <w:r w:rsidR="0093779D" w:rsidRPr="009A125C">
        <w:rPr>
          <w:rFonts w:ascii="Times New Roman" w:hAnsi="Times New Roman" w:cs="Times New Roman"/>
          <w:b/>
          <w:sz w:val="28"/>
          <w:szCs w:val="28"/>
        </w:rPr>
        <w:t xml:space="preserve">Проведение анализа результатов СПТ и углубленной психодиагностики </w:t>
      </w:r>
      <w:r w:rsidR="009A125C" w:rsidRPr="009A125C">
        <w:rPr>
          <w:rFonts w:ascii="Times New Roman" w:hAnsi="Times New Roman" w:cs="Times New Roman"/>
          <w:b/>
          <w:sz w:val="28"/>
          <w:szCs w:val="28"/>
        </w:rPr>
        <w:t xml:space="preserve">должно сочетаться с психолого-педагогическим наблюдением за поведением обучающихся со стороны классных руководителей, педагогов ОО, </w:t>
      </w:r>
      <w:r w:rsidR="009A125C" w:rsidRPr="000E1208">
        <w:rPr>
          <w:rFonts w:ascii="Times New Roman" w:hAnsi="Times New Roman" w:cs="Times New Roman"/>
          <w:b/>
          <w:sz w:val="28"/>
          <w:szCs w:val="28"/>
          <w:u w:val="single"/>
        </w:rPr>
        <w:t>являющимся главным педагогическим методом выявления деструктивных рисков</w:t>
      </w:r>
      <w:r w:rsidR="009A125C" w:rsidRPr="009A125C">
        <w:rPr>
          <w:rFonts w:ascii="Times New Roman" w:hAnsi="Times New Roman" w:cs="Times New Roman"/>
          <w:b/>
          <w:sz w:val="28"/>
          <w:szCs w:val="28"/>
        </w:rPr>
        <w:t>.</w:t>
      </w:r>
    </w:p>
    <w:p w:rsidR="00F6208E" w:rsidRDefault="009A125C" w:rsidP="003B126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5C">
        <w:rPr>
          <w:rFonts w:ascii="Times New Roman" w:hAnsi="Times New Roman" w:cs="Times New Roman"/>
          <w:sz w:val="28"/>
          <w:szCs w:val="28"/>
        </w:rPr>
        <w:t>Педагоги, классные руководители, имея возможность каждодневного наблюдения за поведением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за особенностями </w:t>
      </w:r>
      <w:r w:rsidRPr="009A125C">
        <w:rPr>
          <w:rFonts w:ascii="Times New Roman" w:hAnsi="Times New Roman" w:cs="Times New Roman"/>
          <w:sz w:val="28"/>
          <w:szCs w:val="28"/>
        </w:rPr>
        <w:t>их взаимоотношений с одноклассниками, с учителями в урочной и внеурочной деятельности, могут, как никто другой, увидеть негативные поведенческие проявления, а также – нежелательные личностные качества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5C">
        <w:rPr>
          <w:rFonts w:ascii="Times New Roman" w:hAnsi="Times New Roman" w:cs="Times New Roman"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лучше других могут быть осведомлены </w:t>
      </w:r>
      <w:r w:rsidRPr="009A125C">
        <w:rPr>
          <w:rFonts w:ascii="Times New Roman" w:hAnsi="Times New Roman" w:cs="Times New Roman"/>
          <w:sz w:val="28"/>
          <w:szCs w:val="28"/>
        </w:rPr>
        <w:t>об особенностях внутрисемейных отношений, характере детско-родительских отношений, социальных условиях каждого конкретного ученика своего класса.</w:t>
      </w:r>
    </w:p>
    <w:p w:rsidR="009D1197" w:rsidRPr="003B1263" w:rsidRDefault="009D1197" w:rsidP="003B126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этой связи важным является изучение и сопровождение обучающихся, состоящих на различных видах учета (ВШУ, ПДН, КДН, ДЕСОП и т.д.), а также обучающихся из семей, чьи ближайшие родственники находились на СВО.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показывает практика, именно педагогические наблюдения за поведенческими проявлениями данных категорий обучающихся могут говорить о наличии у них</w:t>
      </w:r>
      <w:r w:rsidR="00330818">
        <w:rPr>
          <w:rFonts w:ascii="Times New Roman" w:hAnsi="Times New Roman" w:cs="Times New Roman"/>
          <w:sz w:val="28"/>
          <w:szCs w:val="28"/>
        </w:rPr>
        <w:t xml:space="preserve"> возможных</w:t>
      </w:r>
      <w:r>
        <w:rPr>
          <w:rFonts w:ascii="Times New Roman" w:hAnsi="Times New Roman" w:cs="Times New Roman"/>
          <w:sz w:val="28"/>
          <w:szCs w:val="28"/>
        </w:rPr>
        <w:t xml:space="preserve"> рисков деструктивных проявлений.</w:t>
      </w:r>
    </w:p>
    <w:p w:rsidR="00D8136B" w:rsidRPr="00C63504" w:rsidRDefault="00D8136B" w:rsidP="000206B6">
      <w:pPr>
        <w:spacing w:after="0" w:line="36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4100B">
        <w:rPr>
          <w:rFonts w:ascii="Times New Roman" w:hAnsi="Times New Roman" w:cs="Times New Roman"/>
          <w:b/>
          <w:sz w:val="28"/>
          <w:szCs w:val="28"/>
        </w:rPr>
        <w:t>9</w:t>
      </w:r>
      <w:r w:rsidRPr="00D8136B">
        <w:rPr>
          <w:rFonts w:ascii="Times New Roman" w:hAnsi="Times New Roman" w:cs="Times New Roman"/>
          <w:b/>
          <w:sz w:val="28"/>
          <w:szCs w:val="28"/>
        </w:rPr>
        <w:t>.</w:t>
      </w:r>
      <w:r w:rsidR="0093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всей проведенной диагностики и психолого-педагогических наблюдений ОО может определить группы риска </w:t>
      </w:r>
      <w:r w:rsidR="009A125C"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основных видов деструктив</w:t>
      </w:r>
      <w:r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поведения: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риска аддиктивного поведения;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группа риска суицидального поведения;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группа риска агрессивного поведения;</w:t>
      </w:r>
    </w:p>
    <w:p w:rsidR="00D8136B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группа</w:t>
      </w:r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</w:t>
      </w:r>
      <w:proofErr w:type="spellStart"/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делинквентного</w:t>
      </w:r>
      <w:proofErr w:type="spellEnd"/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0B3E66" w:rsidRDefault="001850BC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и другие группы риска,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выявляются обучающиес</w:t>
      </w:r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имеющие этот возможный риск.</w:t>
      </w:r>
      <w:proofErr w:type="gramEnd"/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риск экстремистского поведения,</w:t>
      </w:r>
      <w:r w:rsidR="00C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1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виктимного</w:t>
      </w:r>
      <w:proofErr w:type="spellEnd"/>
      <w:r w:rsidR="00C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риск, связанный с участием в фанатских г</w:t>
      </w:r>
      <w:r w:rsidR="00C4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руппировках, А.У.Е.-сообществах, религиозных сектах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</w:t>
      </w:r>
      <w:r w:rsidR="00AD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3E66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отнесенные к группам риска, должны быть максимально охвачены всеми формами п</w:t>
      </w:r>
      <w:r w:rsidR="001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рофилактической, воспитательной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коррекционной работы. Особое внимание следует уделить обучающимся, которые будут отнесены к </w:t>
      </w:r>
      <w:r w:rsid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 группам риска деструктивн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поведения. </w:t>
      </w:r>
    </w:p>
    <w:p w:rsidR="000B3E66" w:rsidRDefault="000B3E66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обучающихся, отнесенных</w:t>
      </w:r>
      <w:r w:rsidR="001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группам риска деструктивного поведения, в ОО ведется индивидуальный план (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маршрут) социализации (ИМС</w:t>
      </w:r>
      <w:r w:rsidR="00E7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 При</w:t>
      </w:r>
      <w:r w:rsidR="00AF5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3</w:t>
      </w:r>
      <w:r w:rsidR="003B12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фиксируется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проделанная с конкретным обучающимся группы риска работа.</w:t>
      </w:r>
      <w:proofErr w:type="gramEnd"/>
    </w:p>
    <w:p w:rsidR="003B1263" w:rsidRDefault="003B1263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6B" w:rsidRPr="003B1263" w:rsidRDefault="00E76E71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еятельность ОО по выявлению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29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работе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риска должна быть сферой постоянного внимания и контроля со стороны администрации ОО, Совета профилактики школы</w:t>
      </w:r>
      <w:r w:rsidR="003B7441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="000B3E66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</w:t>
      </w:r>
      <w:r w:rsidR="003B1263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лого-педагогического консилиума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2FC3" w:rsidRDefault="00AF5EF1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5EF1" w:rsidRDefault="00AF5EF1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75" w:rsidRDefault="00456975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75" w:rsidRDefault="00456975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75" w:rsidRDefault="00456975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F1" w:rsidRDefault="00AF5EF1" w:rsidP="00DF2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1AF" w:rsidRPr="00DF29AF" w:rsidRDefault="00B701AF" w:rsidP="00DF2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C3" w:rsidRDefault="007F2FC3" w:rsidP="007F2F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F2FC3" w:rsidRPr="009D4472" w:rsidRDefault="007F2FC3" w:rsidP="007F2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72">
        <w:rPr>
          <w:rFonts w:ascii="Times New Roman" w:hAnsi="Times New Roman" w:cs="Times New Roman"/>
          <w:b/>
          <w:sz w:val="28"/>
          <w:szCs w:val="28"/>
        </w:rPr>
        <w:t>Исследуемые показатели ЕМ СПТ (</w:t>
      </w:r>
      <w:r w:rsidR="00AF5EF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D4472">
        <w:rPr>
          <w:rFonts w:ascii="Times New Roman" w:hAnsi="Times New Roman" w:cs="Times New Roman"/>
          <w:b/>
          <w:sz w:val="28"/>
          <w:szCs w:val="28"/>
        </w:rPr>
        <w:t>2023 г.)</w:t>
      </w:r>
    </w:p>
    <w:p w:rsidR="007F2FC3" w:rsidRPr="009D4472" w:rsidRDefault="007F2FC3" w:rsidP="007F2F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 xml:space="preserve">ФАКТОРЫ РИСКА – факторы, повышающие вероятность дебюта </w:t>
      </w: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аддиктивных</w:t>
      </w:r>
      <w:proofErr w:type="spellEnd"/>
      <w:r w:rsidRPr="009D4472">
        <w:rPr>
          <w:rFonts w:ascii="Times New Roman" w:hAnsi="Times New Roman" w:cs="Times New Roman"/>
          <w:b/>
          <w:sz w:val="24"/>
          <w:szCs w:val="24"/>
        </w:rPr>
        <w:t xml:space="preserve"> форм поведения или закрепляющие и поддерживающие паттерны поведения, характерные для раз</w:t>
      </w:r>
      <w:r>
        <w:rPr>
          <w:rFonts w:ascii="Times New Roman" w:hAnsi="Times New Roman" w:cs="Times New Roman"/>
          <w:b/>
          <w:sz w:val="24"/>
          <w:szCs w:val="24"/>
        </w:rPr>
        <w:t>личных форм рискового поведения: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Плохая приспосабливаемость, зависимость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отсутствие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приспособления и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во всех необходимых индивидных и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свойствах и качествах, применительно к изменяющимся или новым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социокультурной среды, использование пассивных и преимущественно регрессивных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стратегий поведения. В кластер плохой приспосабливаемости и зависимости 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ведóмость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, поиск опеки и покровительства, неуверенность в себе, неопределенность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интересов и жизненных целей, безропотность, наивность в представлениях о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несамостоятельность, депрессивное реагирование на трудности, осознанное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избегание любых ситуаций преодоления, пассивно-потребительское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 жизни.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Потребность во внимании группы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потребность получать позитивный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отклик от группы в ответ на свое поведение, с чем также связаны стремления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нравиться, создавать о себе преувеличенно хорошее мнение с целью быть 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(понравиться), в </w:t>
      </w:r>
      <w:proofErr w:type="gramStart"/>
      <w:r w:rsidRPr="009D44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 xml:space="preserve"> с чем отмечается повышенная восприимчивость к 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группы или ее членов. В гипертрофированной форме эта потребность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проявляться в виде неспособности переносить групповое психологическое давление,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стремлении угождать, в болезненном страхе конфликтов и желании избежать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их любым способом, в полном подчинении себя группе, в готовности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изменить свое поведение и установки вплоть до подавления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аутентичности.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Принятие асоциальных (</w:t>
      </w: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аддиктивных</w:t>
      </w:r>
      <w:proofErr w:type="spellEnd"/>
      <w:r w:rsidRPr="009D4472">
        <w:rPr>
          <w:rFonts w:ascii="Times New Roman" w:hAnsi="Times New Roman" w:cs="Times New Roman"/>
          <w:b/>
          <w:sz w:val="24"/>
          <w:szCs w:val="24"/>
        </w:rPr>
        <w:t>) установок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«…совокупность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когнитивных, эмоциональных и поведенческих особенностей, пробуждающих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гедонистическое отношение к жизни. Они выражаются в появлении сверхценного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эмоционального отношения к объекту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. Начинают преобладать 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и разговоры об объекте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. Усиливается механизм рационализации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интеллектуального оправдания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(“все курят”, “без алкоголя нельзя 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стресс”, “кто пьет, того болезни не берут” и т. д.). Вследствие этого снижается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критичность к негативным последствиям аддиктивного поведения и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окружению (“все нормально”, “я могу себя контролир</w:t>
      </w:r>
      <w:r>
        <w:rPr>
          <w:rFonts w:ascii="Times New Roman" w:hAnsi="Times New Roman" w:cs="Times New Roman"/>
          <w:sz w:val="24"/>
          <w:szCs w:val="24"/>
        </w:rPr>
        <w:t>овать”, “наркоманы –</w:t>
      </w:r>
      <w:r w:rsidR="00AE7DBA"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хорошие,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интересные люди” и т. д.)».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 xml:space="preserve">Стремление к риску </w:t>
      </w:r>
      <w:r w:rsidRPr="009D4472">
        <w:rPr>
          <w:rFonts w:ascii="Times New Roman" w:hAnsi="Times New Roman" w:cs="Times New Roman"/>
          <w:sz w:val="24"/>
          <w:szCs w:val="24"/>
        </w:rPr>
        <w:t>– побуждение к созданию, поиску, повторению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прямо или потенциально опасных для жизни, с целью получения от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удовольствия. </w:t>
      </w:r>
      <w:proofErr w:type="gramStart"/>
      <w:r w:rsidRPr="009D4472">
        <w:rPr>
          <w:rFonts w:ascii="Times New Roman" w:hAnsi="Times New Roman" w:cs="Times New Roman"/>
          <w:sz w:val="24"/>
          <w:szCs w:val="24"/>
        </w:rPr>
        <w:t>Удовольствие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 xml:space="preserve"> получается от переживания и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преодоления страха и иных острых ощущений в ситуации опасности. Прямо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косвенно опасность различной интенсивности создается и для окружающих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не вовлеченных в круг аддиктивного (рискового) поведения. Выступая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качестве автономного побуждения, стремление к риску также входит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симптоматику аддиктивного поведения. В качестве примера стремления к риску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можно отметить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роуп-джампинг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банги-джампинг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бэйс-джампинг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любовь к вечеринкам, на которых отсутствуют нормы поведения («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«вписки»), </w:t>
      </w:r>
      <w:r w:rsidRPr="009D4472">
        <w:rPr>
          <w:rFonts w:ascii="Times New Roman" w:hAnsi="Times New Roman" w:cs="Times New Roman"/>
          <w:sz w:val="24"/>
          <w:szCs w:val="24"/>
        </w:rPr>
        <w:t>модификации тела и т. п.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Импульсивность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устойчивая склонность действовать по первому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побуждению, зависимость поведения или личностной позиции от случайных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внешних обстоятельств, внешнего эмоционального фона или спонтанных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побуждений.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Тревожность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предрасположенность воспринимать достаточно широкий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спектр ситуаций как угрожающих, приводящая к плохому настроению, мрачным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предчувствиям, беспокойству, напряженности.</w:t>
      </w:r>
    </w:p>
    <w:p w:rsidR="007F2FC3" w:rsidRPr="000427CB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Фрустрированность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4472">
        <w:rPr>
          <w:rFonts w:ascii="Times New Roman" w:hAnsi="Times New Roman" w:cs="Times New Roman"/>
          <w:sz w:val="24"/>
          <w:szCs w:val="24"/>
        </w:rPr>
        <w:t>психическое состояние тягостного переживания,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вызываемое невозможностью удовлетворения уже активированной,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актуализированной потребности, </w:t>
      </w:r>
      <w:r w:rsidRPr="000427CB">
        <w:rPr>
          <w:rFonts w:ascii="Times New Roman" w:hAnsi="Times New Roman" w:cs="Times New Roman"/>
          <w:sz w:val="24"/>
          <w:szCs w:val="24"/>
        </w:rPr>
        <w:lastRenderedPageBreak/>
        <w:t>достижения значимой цели. Объективные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 субъективные факторы, производящие фрустрацию, классифицируются на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генеральные категории – фрустрация задержкой (препятствием)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потребности; фрустрация срывом поведения, направленного на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активированной пот</w:t>
      </w:r>
      <w:r>
        <w:rPr>
          <w:rFonts w:ascii="Times New Roman" w:hAnsi="Times New Roman" w:cs="Times New Roman"/>
          <w:sz w:val="24"/>
          <w:szCs w:val="24"/>
        </w:rPr>
        <w:t>ребности; фрустрация конфликтом</w:t>
      </w:r>
      <w:r w:rsidRPr="000427CB">
        <w:rPr>
          <w:rFonts w:ascii="Times New Roman" w:hAnsi="Times New Roman" w:cs="Times New Roman"/>
          <w:sz w:val="24"/>
          <w:szCs w:val="24"/>
        </w:rPr>
        <w:t>.</w:t>
      </w:r>
    </w:p>
    <w:p w:rsidR="007F2FC3" w:rsidRPr="000427CB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 xml:space="preserve">Склонность к </w:t>
      </w: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делинквентности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– склонность, стремление 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асоциальных, сознательных, волевых, конкретных деяний отдельным лицом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группой лиц, обладающих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деликтоспособностью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, за которые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определенная юридическая ответственность. Таким образом, за деликтом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(правонарушителем) признается </w:t>
      </w:r>
      <w:r>
        <w:rPr>
          <w:rFonts w:ascii="Times New Roman" w:hAnsi="Times New Roman" w:cs="Times New Roman"/>
          <w:sz w:val="24"/>
          <w:szCs w:val="24"/>
        </w:rPr>
        <w:t xml:space="preserve">обладание им правоспособностью, </w:t>
      </w:r>
      <w:r w:rsidRPr="000427CB">
        <w:rPr>
          <w:rFonts w:ascii="Times New Roman" w:hAnsi="Times New Roman" w:cs="Times New Roman"/>
          <w:sz w:val="24"/>
          <w:szCs w:val="24"/>
        </w:rPr>
        <w:t>дееспособностью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деликтоспособностью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.</w:t>
      </w:r>
    </w:p>
    <w:p w:rsidR="007F2FC3" w:rsidRPr="000427CB" w:rsidRDefault="007F2FC3" w:rsidP="007F2F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72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ФАКТОРЫ 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– факторы, повышающие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психологическую устойчивость личнос</w:t>
      </w:r>
      <w:r>
        <w:rPr>
          <w:rFonts w:ascii="Times New Roman" w:hAnsi="Times New Roman" w:cs="Times New Roman"/>
          <w:b/>
          <w:sz w:val="24"/>
          <w:szCs w:val="24"/>
        </w:rPr>
        <w:t>ти к воздействию факторов риска: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CB">
        <w:rPr>
          <w:rFonts w:ascii="Times New Roman" w:hAnsi="Times New Roman" w:cs="Times New Roman"/>
          <w:b/>
          <w:sz w:val="24"/>
          <w:szCs w:val="24"/>
        </w:rPr>
        <w:t>Принятие родителями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поведение и отношение родителей, формирующее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 обучающегося чувство своей значимости, нужности, дающее субъективно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достаточное чувство любви, теплоты человеческих отношений, способствующее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формированию психологического благополучия личности.</w:t>
      </w:r>
      <w:proofErr w:type="gramEnd"/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CB">
        <w:rPr>
          <w:rFonts w:ascii="Times New Roman" w:hAnsi="Times New Roman" w:cs="Times New Roman"/>
          <w:b/>
          <w:sz w:val="24"/>
          <w:szCs w:val="24"/>
        </w:rPr>
        <w:t>Принятие одноклассниками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поведение и отношение сверстников,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формирующее у обучающегося чу</w:t>
      </w:r>
      <w:r>
        <w:rPr>
          <w:rFonts w:ascii="Times New Roman" w:hAnsi="Times New Roman" w:cs="Times New Roman"/>
          <w:sz w:val="24"/>
          <w:szCs w:val="24"/>
        </w:rPr>
        <w:t xml:space="preserve">вство принадлежности к группе и </w:t>
      </w:r>
      <w:r w:rsidRPr="000427CB">
        <w:rPr>
          <w:rFonts w:ascii="Times New Roman" w:hAnsi="Times New Roman" w:cs="Times New Roman"/>
          <w:sz w:val="24"/>
          <w:szCs w:val="24"/>
        </w:rPr>
        <w:t>сопричастности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к общим целям и интересам, развивающее способность вступать в отношения и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 них без потери собственной аутентичности и автономности, способность отстаивать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себя и свою позицию в спорах или конфликтах без разрушения 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отношений.</w:t>
      </w:r>
      <w:proofErr w:type="gramEnd"/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Социальная активность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«…действия и способы поведения, связанные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спринятием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, преобразованием или новым формулированием общественной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(деятельности), обладающей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ценностью. В результате осознается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социальный смысл решения общественной задачи, идет процесс соотнесения с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собственного “Я” личности, доминирует внутренняя мотивация, выражающая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позицию субъекта. В итоге личность принимает на себя определенные обязательства,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становится субъектом ответственности и добивается значимых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 мере “восхождения” от социального индивида к личности возрастают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инициирующих действий, качество и общественная значимость результатов».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Социальная активность личности тесно связана с явлением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включенности личности, которая определяет меру установления оптимальных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между конкретной личностью и конкретной социокультурной средой.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Самоконтроль поведения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способность управлять своими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 действиями, противостоять случайным внешним стимулам или спонтанным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внутренним импульсам, сдерживать себя и вести себя адекватно обстоятельствам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социальной ситуации. Обычно самоконтроль поведения противопоставляется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импульсивности.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Самоэффективность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– уверенность в своих силах достигать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целей, несмотря на препятствия или физические и эмоциональные затраты,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уверенность в эффективности собственных действий и ожидание успеха от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реализации.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определяется широтой диапазона паттернов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поведения, приобретенным опытом, наличием подкрепления, самооценкой.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Адаптированность</w:t>
      </w:r>
      <w:proofErr w:type="spellEnd"/>
      <w:r w:rsidRPr="000427CB">
        <w:rPr>
          <w:rFonts w:ascii="Times New Roman" w:hAnsi="Times New Roman" w:cs="Times New Roman"/>
          <w:b/>
          <w:sz w:val="24"/>
          <w:szCs w:val="24"/>
        </w:rPr>
        <w:t xml:space="preserve"> к нормам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процесс и результат активного приспособления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личности к условиям социальной среды (среде жизнедеятельности) путем 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социальных целей, ценностей, норм и стилей поведения, принятых в обществе,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предполагающие их согласование с потребностями и стремлениями самой личности.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Фрустрационная</w:t>
      </w:r>
      <w:proofErr w:type="spellEnd"/>
      <w:r w:rsidRPr="000427CB">
        <w:rPr>
          <w:rFonts w:ascii="Times New Roman" w:hAnsi="Times New Roman" w:cs="Times New Roman"/>
          <w:b/>
          <w:sz w:val="24"/>
          <w:szCs w:val="24"/>
        </w:rPr>
        <w:t xml:space="preserve"> устойчивость </w:t>
      </w:r>
      <w:r w:rsidRPr="000427CB">
        <w:rPr>
          <w:rFonts w:ascii="Times New Roman" w:hAnsi="Times New Roman" w:cs="Times New Roman"/>
          <w:sz w:val="24"/>
          <w:szCs w:val="24"/>
        </w:rPr>
        <w:t>– способность без выраженных 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переживаний отсрочить во времени удовлетворение актуализированной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или достижение значимой цели, опираясь на когнитивную оценку 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условий и собственных возможностей.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lastRenderedPageBreak/>
        <w:t>Дружелюбие, открытость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благожелательное, дружественное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к другим людям, способность доверять и быть открытым новым отношениям,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способность быть в согласии с людьми разных взглядов и убеждений.</w:t>
      </w:r>
    </w:p>
    <w:p w:rsidR="007F2FC3" w:rsidRPr="009D4472" w:rsidRDefault="007F2FC3" w:rsidP="007F2F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ШКАЛА ЛЖИ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создана для выявл</w:t>
      </w:r>
      <w:r>
        <w:rPr>
          <w:rFonts w:ascii="Times New Roman" w:hAnsi="Times New Roman" w:cs="Times New Roman"/>
          <w:sz w:val="24"/>
          <w:szCs w:val="24"/>
        </w:rPr>
        <w:t xml:space="preserve">ения недостоверных результатов, </w:t>
      </w:r>
      <w:r w:rsidRPr="009D4472">
        <w:rPr>
          <w:rFonts w:ascii="Times New Roman" w:hAnsi="Times New Roman" w:cs="Times New Roman"/>
          <w:sz w:val="24"/>
          <w:szCs w:val="24"/>
        </w:rPr>
        <w:t>связанных с небрежностью обучающегося, аггравац</w:t>
      </w:r>
      <w:r>
        <w:rPr>
          <w:rFonts w:ascii="Times New Roman" w:hAnsi="Times New Roman" w:cs="Times New Roman"/>
          <w:sz w:val="24"/>
          <w:szCs w:val="24"/>
        </w:rPr>
        <w:t xml:space="preserve">ией, диссимуляцией, симуляцией, </w:t>
      </w:r>
      <w:r w:rsidRPr="009D4472">
        <w:rPr>
          <w:rFonts w:ascii="Times New Roman" w:hAnsi="Times New Roman" w:cs="Times New Roman"/>
          <w:sz w:val="24"/>
          <w:szCs w:val="24"/>
        </w:rPr>
        <w:t>склонностью давать преднамеренно неправдивы</w:t>
      </w:r>
      <w:r>
        <w:rPr>
          <w:rFonts w:ascii="Times New Roman" w:hAnsi="Times New Roman" w:cs="Times New Roman"/>
          <w:sz w:val="24"/>
          <w:szCs w:val="24"/>
        </w:rPr>
        <w:t xml:space="preserve">е ответы. Однако и такие ответы </w:t>
      </w:r>
      <w:r w:rsidRPr="009D4472">
        <w:rPr>
          <w:rFonts w:ascii="Times New Roman" w:hAnsi="Times New Roman" w:cs="Times New Roman"/>
          <w:sz w:val="24"/>
          <w:szCs w:val="24"/>
        </w:rPr>
        <w:t>не отбрасываются как недостоверные, а корректируются посредством пониж</w:t>
      </w:r>
      <w:r>
        <w:rPr>
          <w:rFonts w:ascii="Times New Roman" w:hAnsi="Times New Roman" w:cs="Times New Roman"/>
          <w:sz w:val="24"/>
          <w:szCs w:val="24"/>
        </w:rPr>
        <w:t>ающего коэффициента, полученного методами регрессионного и дисперсионного анализа.</w:t>
      </w: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6C7" w:rsidRDefault="009A36C7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5CA" w:rsidRDefault="00AA35CA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2FC3">
        <w:rPr>
          <w:rFonts w:ascii="Times New Roman" w:hAnsi="Times New Roman" w:cs="Times New Roman"/>
          <w:b/>
          <w:sz w:val="28"/>
          <w:szCs w:val="28"/>
        </w:rPr>
        <w:t>2</w:t>
      </w:r>
    </w:p>
    <w:p w:rsidR="00AA35CA" w:rsidRDefault="00AA35CA" w:rsidP="009A3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CA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методики, рекомендованные для проведения углубленной психодиагностической работы в ОО</w:t>
      </w:r>
    </w:p>
    <w:p w:rsidR="00285FCE" w:rsidRPr="003E4FCF" w:rsidRDefault="00285FCE" w:rsidP="000A59D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5CA" w:rsidRPr="003E4FCF" w:rsidRDefault="00A3720B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 диагностики аддиктивного поведения: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1. Тест – опросник «</w:t>
      </w:r>
      <w:proofErr w:type="spellStart"/>
      <w:r w:rsidRPr="003E4FCF">
        <w:rPr>
          <w:rFonts w:ascii="Times New Roman" w:hAnsi="Times New Roman" w:cs="Times New Roman"/>
          <w:sz w:val="24"/>
        </w:rPr>
        <w:t>Аддиктивная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склонность» (В.В. Юсупов, В.А. </w:t>
      </w:r>
      <w:proofErr w:type="spellStart"/>
      <w:r w:rsidRPr="003E4FCF">
        <w:rPr>
          <w:rFonts w:ascii="Times New Roman" w:hAnsi="Times New Roman" w:cs="Times New Roman"/>
          <w:sz w:val="24"/>
        </w:rPr>
        <w:t>Корзунин</w:t>
      </w:r>
      <w:proofErr w:type="spellEnd"/>
      <w:r w:rsidRPr="003E4FCF">
        <w:rPr>
          <w:rFonts w:ascii="Times New Roman" w:hAnsi="Times New Roman" w:cs="Times New Roman"/>
          <w:sz w:val="24"/>
        </w:rPr>
        <w:t>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2. Тест «Склонность к зависимому</w:t>
      </w:r>
      <w:r w:rsidR="003E4FCF">
        <w:rPr>
          <w:rFonts w:ascii="Times New Roman" w:hAnsi="Times New Roman" w:cs="Times New Roman"/>
          <w:sz w:val="24"/>
        </w:rPr>
        <w:t xml:space="preserve"> поведению (Менделевич В. Д.)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0E12A6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3720B" w:rsidRPr="003E4FCF">
        <w:rPr>
          <w:rFonts w:ascii="Times New Roman" w:hAnsi="Times New Roman" w:cs="Times New Roman"/>
          <w:sz w:val="24"/>
        </w:rPr>
        <w:t xml:space="preserve">Тест для определения степени никотиновой зависимости для </w:t>
      </w:r>
      <w:proofErr w:type="gramStart"/>
      <w:r w:rsidR="00A3720B" w:rsidRPr="003E4FCF">
        <w:rPr>
          <w:rFonts w:ascii="Times New Roman" w:hAnsi="Times New Roman" w:cs="Times New Roman"/>
          <w:sz w:val="24"/>
        </w:rPr>
        <w:t>курящих</w:t>
      </w:r>
      <w:proofErr w:type="gramEnd"/>
      <w:r w:rsidR="00A3720B" w:rsidRPr="003E4FCF">
        <w:rPr>
          <w:rFonts w:ascii="Times New Roman" w:hAnsi="Times New Roman" w:cs="Times New Roman"/>
          <w:sz w:val="24"/>
        </w:rPr>
        <w:t xml:space="preserve"> (Методика </w:t>
      </w:r>
      <w:proofErr w:type="spellStart"/>
      <w:r w:rsidR="00A3720B" w:rsidRPr="003E4FCF">
        <w:rPr>
          <w:rFonts w:ascii="Times New Roman" w:hAnsi="Times New Roman" w:cs="Times New Roman"/>
          <w:sz w:val="24"/>
        </w:rPr>
        <w:t>Фагерстрема</w:t>
      </w:r>
      <w:proofErr w:type="spellEnd"/>
      <w:r w:rsidR="00A3720B" w:rsidRPr="003E4FCF">
        <w:rPr>
          <w:rFonts w:ascii="Times New Roman" w:hAnsi="Times New Roman" w:cs="Times New Roman"/>
          <w:sz w:val="24"/>
        </w:rPr>
        <w:t>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4. Методика диагностики склонности к отк</w:t>
      </w:r>
      <w:r w:rsidR="003E4FCF">
        <w:rPr>
          <w:rFonts w:ascii="Times New Roman" w:hAnsi="Times New Roman" w:cs="Times New Roman"/>
          <w:sz w:val="24"/>
        </w:rPr>
        <w:t>лоняющемуся поведению А.Н. Орел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0E12A6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 w:rsidR="00A3720B"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="00A3720B"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видам </w:t>
      </w:r>
      <w:proofErr w:type="spellStart"/>
      <w:r w:rsidR="00A3720B"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="00A3720B"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6. Тест «Склонность к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поведению» Э.В. </w:t>
      </w:r>
      <w:proofErr w:type="spellStart"/>
      <w:r w:rsidRPr="003E4FCF">
        <w:rPr>
          <w:rFonts w:ascii="Times New Roman" w:hAnsi="Times New Roman" w:cs="Times New Roman"/>
          <w:sz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</w:rPr>
        <w:t>, А.Г. Соловьев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7. Тест «Склонность к зависимому поведению» В.Д. Менделевич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8. Тест-опросник «</w:t>
      </w:r>
      <w:proofErr w:type="spellStart"/>
      <w:r w:rsidRPr="003E4FCF">
        <w:rPr>
          <w:rFonts w:ascii="Times New Roman" w:hAnsi="Times New Roman" w:cs="Times New Roman"/>
          <w:sz w:val="24"/>
        </w:rPr>
        <w:t>Аддиктивная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склонность» Юсупов В.В.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0E12A6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A3720B" w:rsidRPr="003E4FCF">
        <w:rPr>
          <w:rFonts w:ascii="Times New Roman" w:hAnsi="Times New Roman" w:cs="Times New Roman"/>
          <w:sz w:val="24"/>
        </w:rPr>
        <w:t>Методика выявления подростков склонных к наркотизации методом семантического дифференциала А.В. Иванов, С.В. Иванова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10. </w:t>
      </w: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 (опросник «ДАП-П»)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11. </w:t>
      </w:r>
      <w:proofErr w:type="gramStart"/>
      <w:r w:rsidRPr="003E4FCF">
        <w:rPr>
          <w:rFonts w:ascii="Times New Roman" w:hAnsi="Times New Roman" w:cs="Times New Roman"/>
          <w:sz w:val="24"/>
        </w:rPr>
        <w:t xml:space="preserve">Методика диагностики социально-психологической адаптации </w:t>
      </w:r>
      <w:proofErr w:type="spellStart"/>
      <w:r w:rsidRPr="003E4FCF">
        <w:rPr>
          <w:rFonts w:ascii="Times New Roman" w:hAnsi="Times New Roman" w:cs="Times New Roman"/>
          <w:sz w:val="24"/>
        </w:rPr>
        <w:t>Роджерса</w:t>
      </w:r>
      <w:proofErr w:type="spellEnd"/>
      <w:r w:rsidRPr="003E4FCF">
        <w:rPr>
          <w:rFonts w:ascii="Times New Roman" w:hAnsi="Times New Roman" w:cs="Times New Roman"/>
          <w:sz w:val="24"/>
        </w:rPr>
        <w:t>–</w:t>
      </w:r>
      <w:proofErr w:type="spellStart"/>
      <w:r w:rsidRPr="003E4FCF">
        <w:rPr>
          <w:rFonts w:ascii="Times New Roman" w:hAnsi="Times New Roman" w:cs="Times New Roman"/>
          <w:sz w:val="24"/>
        </w:rPr>
        <w:t>Даймонд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(СПА) (адаптация: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А. К. </w:t>
      </w:r>
      <w:proofErr w:type="spellStart"/>
      <w:r w:rsidRPr="003E4FCF">
        <w:rPr>
          <w:rFonts w:ascii="Times New Roman" w:hAnsi="Times New Roman" w:cs="Times New Roman"/>
          <w:sz w:val="24"/>
        </w:rPr>
        <w:t>Осницкий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(2004 г.)</w:t>
      </w:r>
      <w:r w:rsidR="003B1263">
        <w:rPr>
          <w:rFonts w:ascii="Times New Roman" w:hAnsi="Times New Roman" w:cs="Times New Roman"/>
          <w:sz w:val="24"/>
        </w:rPr>
        <w:t>.</w:t>
      </w:r>
    </w:p>
    <w:p w:rsidR="00285FCE" w:rsidRPr="003E4FCF" w:rsidRDefault="00285FCE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Pr="003E4FCF" w:rsidRDefault="00A3720B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 диагностики суицидального поведения: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Прогностическая таблица риска суицида у детей и подростков (А.Н. Волкова);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Методика «Карта риска суицида» (модификация для подростков Л.Б. Шнейдер);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Тест «Ваши суицидальные наклонности» (З. Королева);</w:t>
      </w:r>
    </w:p>
    <w:p w:rsidR="00A3720B" w:rsidRPr="000E12A6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0E12A6">
        <w:rPr>
          <w:rFonts w:ascii="Times New Roman" w:hAnsi="Times New Roman" w:cs="Times New Roman"/>
          <w:sz w:val="24"/>
        </w:rPr>
        <w:t>Шкала</w:t>
      </w:r>
      <w:r w:rsidRPr="000E12A6">
        <w:rPr>
          <w:rFonts w:ascii="Times New Roman" w:hAnsi="Times New Roman" w:cs="Times New Roman"/>
          <w:sz w:val="24"/>
          <w:lang w:val="en-US"/>
        </w:rPr>
        <w:t xml:space="preserve"> </w:t>
      </w:r>
      <w:r w:rsidRPr="000E12A6">
        <w:rPr>
          <w:rFonts w:ascii="Times New Roman" w:hAnsi="Times New Roman" w:cs="Times New Roman"/>
          <w:sz w:val="24"/>
        </w:rPr>
        <w:t>безнадежности</w:t>
      </w:r>
      <w:r w:rsidRPr="000E12A6">
        <w:rPr>
          <w:rFonts w:ascii="Times New Roman" w:hAnsi="Times New Roman" w:cs="Times New Roman"/>
          <w:sz w:val="24"/>
          <w:lang w:val="en-US"/>
        </w:rPr>
        <w:t xml:space="preserve"> (Hopelessness Scale, Beck et al. 1974);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Диагностика враждебности (по шкале Кука – </w:t>
      </w:r>
      <w:proofErr w:type="spellStart"/>
      <w:r w:rsidRPr="003E4FCF">
        <w:rPr>
          <w:rFonts w:ascii="Times New Roman" w:hAnsi="Times New Roman" w:cs="Times New Roman"/>
          <w:sz w:val="24"/>
        </w:rPr>
        <w:t>Медлей</w:t>
      </w:r>
      <w:proofErr w:type="spellEnd"/>
      <w:r w:rsidRPr="003E4FCF">
        <w:rPr>
          <w:rFonts w:ascii="Times New Roman" w:hAnsi="Times New Roman" w:cs="Times New Roman"/>
          <w:sz w:val="24"/>
        </w:rPr>
        <w:t>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3E4FCF">
        <w:rPr>
          <w:rFonts w:ascii="Times New Roman" w:hAnsi="Times New Roman" w:cs="Times New Roman"/>
          <w:sz w:val="24"/>
        </w:rPr>
        <w:t xml:space="preserve">Методика диагностики уровня субъективного ощущения одиночества Д. Рассела и М. </w:t>
      </w:r>
      <w:proofErr w:type="spellStart"/>
      <w:r w:rsidRPr="003E4FCF">
        <w:rPr>
          <w:rFonts w:ascii="Times New Roman" w:hAnsi="Times New Roman" w:cs="Times New Roman"/>
          <w:sz w:val="24"/>
        </w:rPr>
        <w:t>Фергюсона</w:t>
      </w:r>
      <w:proofErr w:type="spellEnd"/>
      <w:r w:rsidRPr="003E4FCF">
        <w:rPr>
          <w:rFonts w:ascii="Times New Roman" w:hAnsi="Times New Roman" w:cs="Times New Roman"/>
          <w:sz w:val="24"/>
        </w:rPr>
        <w:t>);</w:t>
      </w:r>
      <w:proofErr w:type="gramEnd"/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«Одиночество» опросник С.Г. Корчагиной;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Диагностика суицидального поведения подростков (модификация опросника</w:t>
      </w:r>
      <w:r w:rsidR="003E4FCF">
        <w:rPr>
          <w:rFonts w:ascii="Times New Roman" w:hAnsi="Times New Roman" w:cs="Times New Roman"/>
          <w:sz w:val="24"/>
        </w:rPr>
        <w:br/>
      </w:r>
      <w:r w:rsidRPr="003E4FCF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3E4FCF">
        <w:rPr>
          <w:rFonts w:ascii="Times New Roman" w:hAnsi="Times New Roman" w:cs="Times New Roman"/>
          <w:sz w:val="24"/>
        </w:rPr>
        <w:t>Айзенка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«Самооценка психических состояний личности» для подросткового возраста);</w:t>
      </w:r>
    </w:p>
    <w:p w:rsidR="00A3720B" w:rsidRPr="000E12A6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E12A6">
        <w:rPr>
          <w:rFonts w:ascii="Times New Roman" w:hAnsi="Times New Roman" w:cs="Times New Roman"/>
          <w:sz w:val="24"/>
        </w:rPr>
        <w:t>Шкала Бека для оценки депрессии (</w:t>
      </w:r>
      <w:proofErr w:type="spellStart"/>
      <w:r w:rsidRPr="000E12A6">
        <w:rPr>
          <w:rFonts w:ascii="Times New Roman" w:hAnsi="Times New Roman" w:cs="Times New Roman"/>
          <w:sz w:val="24"/>
        </w:rPr>
        <w:t>Beck</w:t>
      </w:r>
      <w:proofErr w:type="spellEnd"/>
      <w:r w:rsidRPr="000E12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2A6">
        <w:rPr>
          <w:rFonts w:ascii="Times New Roman" w:hAnsi="Times New Roman" w:cs="Times New Roman"/>
          <w:sz w:val="24"/>
        </w:rPr>
        <w:t>depression</w:t>
      </w:r>
      <w:proofErr w:type="spellEnd"/>
      <w:r w:rsidRPr="000E12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12A6">
        <w:rPr>
          <w:rFonts w:ascii="Times New Roman" w:hAnsi="Times New Roman" w:cs="Times New Roman"/>
          <w:sz w:val="24"/>
        </w:rPr>
        <w:t>inventory</w:t>
      </w:r>
      <w:proofErr w:type="spellEnd"/>
      <w:r w:rsidRPr="000E12A6">
        <w:rPr>
          <w:rFonts w:ascii="Times New Roman" w:hAnsi="Times New Roman" w:cs="Times New Roman"/>
          <w:sz w:val="24"/>
        </w:rPr>
        <w:t xml:space="preserve"> (DBI);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«Скрининг кризисного состояния» - опросник Банникова Г.С.;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lastRenderedPageBreak/>
        <w:t>Опросник на выявление депрессии у д</w:t>
      </w:r>
      <w:r w:rsidR="00D00DFA">
        <w:rPr>
          <w:rFonts w:ascii="Times New Roman" w:hAnsi="Times New Roman" w:cs="Times New Roman"/>
          <w:sz w:val="24"/>
        </w:rPr>
        <w:t>етей и подростков CDI М. Ковача;</w:t>
      </w:r>
    </w:p>
    <w:p w:rsidR="00A3720B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 (опросник «ДАП-П»)</w:t>
      </w:r>
      <w:r w:rsidR="00D00DFA">
        <w:rPr>
          <w:rFonts w:ascii="Times New Roman" w:hAnsi="Times New Roman" w:cs="Times New Roman"/>
          <w:sz w:val="24"/>
        </w:rPr>
        <w:t>;</w:t>
      </w:r>
    </w:p>
    <w:p w:rsidR="00D00DFA" w:rsidRDefault="00D00DFA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00DFA">
        <w:rPr>
          <w:rFonts w:ascii="Times New Roman" w:hAnsi="Times New Roman" w:cs="Times New Roman"/>
          <w:sz w:val="24"/>
        </w:rPr>
        <w:t xml:space="preserve">«Шкала душевной боли» Р. </w:t>
      </w:r>
      <w:proofErr w:type="spellStart"/>
      <w:r w:rsidRPr="00D00DFA">
        <w:rPr>
          <w:rFonts w:ascii="Times New Roman" w:hAnsi="Times New Roman" w:cs="Times New Roman"/>
          <w:sz w:val="24"/>
        </w:rPr>
        <w:t>Холдена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D00DFA" w:rsidRDefault="00D00DFA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00DFA">
        <w:rPr>
          <w:rFonts w:ascii="Times New Roman" w:hAnsi="Times New Roman" w:cs="Times New Roman"/>
          <w:sz w:val="24"/>
        </w:rPr>
        <w:t xml:space="preserve">«Шкала сочувствия к себе» К. </w:t>
      </w:r>
      <w:proofErr w:type="spellStart"/>
      <w:r w:rsidRPr="00D00DFA">
        <w:rPr>
          <w:rFonts w:ascii="Times New Roman" w:hAnsi="Times New Roman" w:cs="Times New Roman"/>
          <w:sz w:val="24"/>
        </w:rPr>
        <w:t>Нефф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D00DFA" w:rsidRDefault="00D00DFA" w:rsidP="00D00DFA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00DFA">
        <w:rPr>
          <w:rFonts w:ascii="Times New Roman" w:hAnsi="Times New Roman" w:cs="Times New Roman"/>
          <w:sz w:val="24"/>
        </w:rPr>
        <w:t>Методика самооценки школьных ситуаций, разработана по</w:t>
      </w:r>
      <w:r>
        <w:rPr>
          <w:rFonts w:ascii="Times New Roman" w:hAnsi="Times New Roman" w:cs="Times New Roman"/>
          <w:sz w:val="24"/>
        </w:rPr>
        <w:t xml:space="preserve"> </w:t>
      </w:r>
      <w:r w:rsidRPr="00D00DFA">
        <w:rPr>
          <w:rFonts w:ascii="Times New Roman" w:hAnsi="Times New Roman" w:cs="Times New Roman"/>
          <w:sz w:val="24"/>
        </w:rPr>
        <w:t xml:space="preserve">принципу «Шкалы социально-ситуативной тревоги» О. </w:t>
      </w:r>
      <w:proofErr w:type="spellStart"/>
      <w:r w:rsidRPr="00D00DFA">
        <w:rPr>
          <w:rFonts w:ascii="Times New Roman" w:hAnsi="Times New Roman" w:cs="Times New Roman"/>
          <w:sz w:val="24"/>
        </w:rPr>
        <w:t>Кондаша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3720B" w:rsidRPr="00977FA9" w:rsidRDefault="000E12A6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FA9">
        <w:rPr>
          <w:rFonts w:ascii="Times New Roman" w:hAnsi="Times New Roman" w:cs="Times New Roman"/>
          <w:sz w:val="24"/>
          <w:szCs w:val="24"/>
        </w:rPr>
        <w:t>Тест выявления суицидального риска у детей (А.А. Кучер,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FA9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977FA9">
        <w:rPr>
          <w:rFonts w:ascii="Times New Roman" w:hAnsi="Times New Roman" w:cs="Times New Roman"/>
          <w:sz w:val="24"/>
          <w:szCs w:val="24"/>
        </w:rPr>
        <w:t>Костюкевич</w:t>
      </w:r>
      <w:proofErr w:type="spellEnd"/>
      <w:r w:rsidRPr="00977F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7FA9" w:rsidRPr="00977FA9" w:rsidRDefault="00977FA9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FA9">
        <w:rPr>
          <w:rFonts w:ascii="Times New Roman" w:hAnsi="Times New Roman" w:cs="Times New Roman"/>
          <w:sz w:val="24"/>
        </w:rPr>
        <w:t xml:space="preserve">Методика определения уровня депрессии (В.А. </w:t>
      </w:r>
      <w:proofErr w:type="spellStart"/>
      <w:r w:rsidRPr="00977FA9">
        <w:rPr>
          <w:rFonts w:ascii="Times New Roman" w:hAnsi="Times New Roman" w:cs="Times New Roman"/>
          <w:sz w:val="24"/>
        </w:rPr>
        <w:t>Жмуров</w:t>
      </w:r>
      <w:proofErr w:type="spellEnd"/>
      <w:r w:rsidRPr="00977FA9">
        <w:rPr>
          <w:rFonts w:ascii="Times New Roman" w:hAnsi="Times New Roman" w:cs="Times New Roman"/>
          <w:sz w:val="24"/>
        </w:rPr>
        <w:t>)</w:t>
      </w:r>
    </w:p>
    <w:p w:rsidR="00977FA9" w:rsidRDefault="00977FA9" w:rsidP="00977FA9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7FA9">
        <w:rPr>
          <w:rFonts w:ascii="Times New Roman" w:hAnsi="Times New Roman" w:cs="Times New Roman"/>
          <w:sz w:val="24"/>
          <w:szCs w:val="24"/>
        </w:rPr>
        <w:t>Методика определения степени риска совершения суицида (И.А. Погодин)</w:t>
      </w:r>
    </w:p>
    <w:p w:rsidR="000E12A6" w:rsidRPr="000E12A6" w:rsidRDefault="000E12A6" w:rsidP="000E12A6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7FA9">
        <w:rPr>
          <w:rFonts w:ascii="Times New Roman" w:hAnsi="Times New Roman" w:cs="Times New Roman"/>
          <w:sz w:val="24"/>
        </w:rPr>
        <w:t>Шка</w:t>
      </w:r>
      <w:r w:rsidR="00B701AF">
        <w:rPr>
          <w:rFonts w:ascii="Times New Roman" w:hAnsi="Times New Roman" w:cs="Times New Roman"/>
          <w:sz w:val="24"/>
        </w:rPr>
        <w:t xml:space="preserve">ла тревожности Р. </w:t>
      </w:r>
      <w:proofErr w:type="spellStart"/>
      <w:r w:rsidR="00B701AF">
        <w:rPr>
          <w:rFonts w:ascii="Times New Roman" w:hAnsi="Times New Roman" w:cs="Times New Roman"/>
          <w:sz w:val="24"/>
        </w:rPr>
        <w:t>Сирса</w:t>
      </w:r>
      <w:proofErr w:type="spellEnd"/>
      <w:r w:rsidR="00B701AF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977FA9">
        <w:rPr>
          <w:rFonts w:ascii="Times New Roman" w:hAnsi="Times New Roman" w:cs="Times New Roman"/>
          <w:sz w:val="24"/>
        </w:rPr>
        <w:t xml:space="preserve"> (Методика предназначена для определения уровня тревожности дошкольников и младших школьников.)</w:t>
      </w:r>
    </w:p>
    <w:p w:rsidR="00977FA9" w:rsidRPr="00977FA9" w:rsidRDefault="000E12A6" w:rsidP="000E12A6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7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агрессивного поведения 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>: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А.Н. Орел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«Склонность 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поведению» Э.В.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А.Г. Соловьев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«Опросник диагностики показателей и форм агрессии»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склонности к агрессии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-Перри "BPAQ", С.Н.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Ениколопов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</w:t>
      </w:r>
      <w:r w:rsidR="003E4FCF">
        <w:rPr>
          <w:rFonts w:ascii="Times New Roman" w:hAnsi="Times New Roman" w:cs="Times New Roman"/>
          <w:sz w:val="24"/>
          <w:szCs w:val="24"/>
        </w:rPr>
        <w:br/>
      </w:r>
      <w:r w:rsidRPr="003E4FCF">
        <w:rPr>
          <w:rFonts w:ascii="Times New Roman" w:hAnsi="Times New Roman" w:cs="Times New Roman"/>
          <w:sz w:val="24"/>
          <w:szCs w:val="24"/>
        </w:rPr>
        <w:t>Н.П. Цибульский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Методика диагностики агрессивности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Ассингера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«Личностная агрессивность и конфликтность» Е.П. Ильин и П.А. Ковалев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на выявление «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-структуры» (Е. Г.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"Тест руки" («</w:t>
      </w:r>
      <w:r w:rsidRPr="003E4FCF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3E4FCF">
        <w:rPr>
          <w:rFonts w:ascii="Times New Roman" w:hAnsi="Times New Roman" w:cs="Times New Roman"/>
          <w:sz w:val="24"/>
          <w:szCs w:val="24"/>
        </w:rPr>
        <w:t>-тест»)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Тест «Рисунок несуществующего животного»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школьной тревожности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диспозиций насильственного экстремизма (Д.Г.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>Давыдов, К.Д.</w:t>
      </w:r>
      <w:r w:rsidR="003B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Индивидуально-типологический детский опросник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Л.Н. (ИТДО)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 диагностики межличностных отношений модификация тес</w:t>
      </w:r>
      <w:r w:rsidR="003B1263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 xml:space="preserve">, адаптация: Л.Н.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Олвеуса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риска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(ОРБ) (А.А.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Бочавер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В.Б. Кузнецова, Е.М. Бианки, П.В. Дмитриевский, М.А. Завалишина, Н.А.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Капорская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К.Д.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агрессивности опросник Л.Г.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Почебут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.</w:t>
      </w:r>
    </w:p>
    <w:p w:rsidR="000B3E66" w:rsidRPr="000B3E66" w:rsidRDefault="000B3E66" w:rsidP="000B3E66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делинквентного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 xml:space="preserve"> поведения: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А.Н. Орел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FCF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выявления склонности к различным видам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«Склонность 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поведению» (СДП) Э.В.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А.Г. Соловьев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диспозиций насильственного экстремизма (Д.Г.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>Давыдов,</w:t>
      </w:r>
      <w:r w:rsidR="003E4FCF">
        <w:rPr>
          <w:rFonts w:ascii="Times New Roman" w:hAnsi="Times New Roman" w:cs="Times New Roman"/>
          <w:sz w:val="24"/>
          <w:szCs w:val="24"/>
        </w:rPr>
        <w:br/>
      </w:r>
      <w:r w:rsidRPr="003E4FCF">
        <w:rPr>
          <w:rFonts w:ascii="Times New Roman" w:hAnsi="Times New Roman" w:cs="Times New Roman"/>
          <w:sz w:val="24"/>
          <w:szCs w:val="24"/>
        </w:rPr>
        <w:t>К.Д.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 (опросник «ДАП-П»)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Тест правового и гражданског</w:t>
      </w:r>
      <w:r w:rsidR="003B1263">
        <w:rPr>
          <w:rFonts w:ascii="Times New Roman" w:hAnsi="Times New Roman" w:cs="Times New Roman"/>
          <w:sz w:val="24"/>
          <w:szCs w:val="24"/>
        </w:rPr>
        <w:t xml:space="preserve">о сознания. (ТПГС) Л.А.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 xml:space="preserve">Методика диагностики социально-психологической адаптации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Роджерса</w:t>
      </w:r>
      <w:r w:rsidR="003E4FCF">
        <w:rPr>
          <w:rFonts w:ascii="Times New Roman" w:hAnsi="Times New Roman" w:cs="Times New Roman"/>
          <w:sz w:val="24"/>
          <w:szCs w:val="24"/>
        </w:rPr>
        <w:t>-</w:t>
      </w:r>
      <w:r w:rsidRPr="003E4FCF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(СПА) (адаптация: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FCF">
        <w:rPr>
          <w:rFonts w:ascii="Times New Roman" w:hAnsi="Times New Roman" w:cs="Times New Roman"/>
          <w:sz w:val="24"/>
          <w:szCs w:val="24"/>
        </w:rPr>
        <w:t xml:space="preserve">А. К.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Осницкий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(2004 г.))</w:t>
      </w:r>
      <w:r w:rsidR="0027012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Методика многофакторного исследования личности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Кэттелла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(подростковый вариант)</w:t>
      </w:r>
      <w:r w:rsidR="00270124">
        <w:rPr>
          <w:rFonts w:ascii="Times New Roman" w:hAnsi="Times New Roman" w:cs="Times New Roman"/>
          <w:sz w:val="24"/>
          <w:szCs w:val="24"/>
        </w:rPr>
        <w:t>;</w:t>
      </w:r>
    </w:p>
    <w:p w:rsidR="00A3720B" w:rsidRPr="00270124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>Модифицированный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идентификации типов акцентуаций</w:t>
      </w:r>
      <w:r w:rsidR="00270124">
        <w:rPr>
          <w:rFonts w:ascii="Times New Roman" w:hAnsi="Times New Roman" w:cs="Times New Roman"/>
          <w:sz w:val="24"/>
          <w:szCs w:val="24"/>
        </w:rPr>
        <w:t xml:space="preserve"> </w:t>
      </w:r>
      <w:r w:rsidRPr="00270124">
        <w:rPr>
          <w:rFonts w:ascii="Times New Roman" w:hAnsi="Times New Roman" w:cs="Times New Roman"/>
          <w:sz w:val="24"/>
          <w:szCs w:val="24"/>
        </w:rPr>
        <w:t xml:space="preserve">характера у подростков А.Е. </w:t>
      </w:r>
      <w:proofErr w:type="spellStart"/>
      <w:r w:rsidRPr="00270124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="00270124">
        <w:rPr>
          <w:rFonts w:ascii="Times New Roman" w:hAnsi="Times New Roman" w:cs="Times New Roman"/>
          <w:sz w:val="24"/>
          <w:szCs w:val="24"/>
        </w:rPr>
        <w:t>;</w:t>
      </w:r>
      <w:r w:rsidRPr="0027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10.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ориентаций (СЖО) Авторы: 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Крамбо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Махолик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адаптация: Д.А. Леонтьев.</w:t>
      </w:r>
    </w:p>
    <w:p w:rsidR="00A3720B" w:rsidRPr="003E4FCF" w:rsidRDefault="00A3720B" w:rsidP="000A59D5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720B" w:rsidRPr="00F313AA" w:rsidRDefault="00A3720B" w:rsidP="000A5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Default="00A3720B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E6" w:rsidRDefault="006969E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518" w:rsidRDefault="00104518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07F" w:rsidRDefault="00BF307F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2FC3">
        <w:rPr>
          <w:rFonts w:ascii="Times New Roman" w:hAnsi="Times New Roman" w:cs="Times New Roman"/>
          <w:b/>
          <w:sz w:val="28"/>
          <w:szCs w:val="28"/>
        </w:rPr>
        <w:t>3</w:t>
      </w:r>
    </w:p>
    <w:p w:rsidR="006969E6" w:rsidRDefault="006969E6" w:rsidP="0069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2F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Индивидуальный маршрут социализации </w:t>
      </w:r>
      <w:proofErr w:type="gramStart"/>
      <w:r w:rsidRPr="004F2F8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обучающегося</w:t>
      </w:r>
      <w:proofErr w:type="gramEnd"/>
      <w:r w:rsidRPr="004F2F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(далее – ИМСО)</w:t>
      </w:r>
    </w:p>
    <w:p w:rsidR="006969E6" w:rsidRDefault="006969E6" w:rsidP="0069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969E6" w:rsidRPr="004F2F8A" w:rsidRDefault="006969E6" w:rsidP="0069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организации:</w:t>
      </w:r>
      <w:r w:rsidRPr="00E76E71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Срок реализации ИМСО с  «_____» _______20_____ по «____» __________ 20____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817"/>
        <w:gridCol w:w="4253"/>
        <w:gridCol w:w="4110"/>
      </w:tblGrid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разработки ИМСО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Проблемы </w:t>
            </w: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180" w:type="dxa"/>
            <w:gridSpan w:val="3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заполнении пунктов 5,6,7 ИМСО можно убрать из текста факторы, пункты, проявления, которые 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характерны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 обучающегося, добавить своё. </w:t>
            </w: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Медико - биологические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факторы 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причины, врожденные заболевания,  травмы и инфекционные поражения головного мозга и т.д.</w:t>
            </w: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особенности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Дефицит коммуникативных навыков, тревожность, страхи, низкий уровень самооценки, стресс, агрессия, депрессия, аффект, фрустрация и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969E6" w:rsidRPr="00E76E71" w:rsidTr="00323E85">
        <w:trPr>
          <w:trHeight w:val="59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семейного воспитания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С кем проживает ребенок - родственные отношения и количество детей/взрослых;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трудности, переживаемые в семье (материальные, хроническая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психотравматизация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 год назад, плохое владение русским языком одного или нескольких членов семьи, низкий уровень образования членов семьи)</w:t>
            </w:r>
          </w:p>
        </w:tc>
      </w:tr>
      <w:tr w:rsidR="006969E6" w:rsidRPr="00E76E71" w:rsidTr="00323E85">
        <w:trPr>
          <w:trHeight w:val="59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психолого - педагогических обследований (диагностики) на основании: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НАБЛЮДЕНИЯ (классный руководитель, предметники, участники образовательных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отношений);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СОЦИАЛЬНО-ПСИХОЛОГИЧЕСКОГО ТЕСТИРОВАНИЯ (СПТ);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МОНИТОРИНГА БЕЗОПАСНОСТИ ОБРАЗОВАТЕЛЬНОЙ СРЕДЫ (МБОС)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УГЛУБЛЕННОЙ ДИАГНОСТИКИ (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других методик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Выявлено следующее.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(Текстовый формат сведений, полученных по итогам диагностики (не более 150 слов))</w:t>
            </w: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сопровождения: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сопровождения: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несовершеннолетнего и семьи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ПРИМЕР.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Готовность родителей участвовать в помощи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Готовность несовершеннолетнего сотрудничать со специалистами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Наличие круга близких друзей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Наличие значимого взрослого в близком окружении (родной дядя, старший брат, тренер, учитель, наставник и др.)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5. Наличие серьезных увлечений и планов и другое</w:t>
            </w: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969E6" w:rsidRPr="005F1653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Куратор реализации ИМСО (ФИО), </w:t>
            </w:r>
            <w:proofErr w:type="spellStart"/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</w:t>
            </w:r>
            <w:proofErr w:type="gramStart"/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b/>
          <w:sz w:val="24"/>
          <w:szCs w:val="24"/>
        </w:rPr>
        <w:t>Программа мероприятий (содержание) ИМСО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244" w:type="dxa"/>
        <w:tblLayout w:type="fixed"/>
        <w:tblLook w:val="04A0" w:firstRow="1" w:lastRow="0" w:firstColumn="1" w:lastColumn="0" w:noHBand="0" w:noVBand="1"/>
      </w:tblPr>
      <w:tblGrid>
        <w:gridCol w:w="756"/>
        <w:gridCol w:w="2365"/>
        <w:gridCol w:w="1807"/>
        <w:gridCol w:w="1560"/>
        <w:gridCol w:w="1275"/>
        <w:gridCol w:w="1481"/>
      </w:tblGrid>
      <w:tr w:rsidR="006969E6" w:rsidRPr="00E76E71" w:rsidTr="00323E85">
        <w:tc>
          <w:tcPr>
            <w:tcW w:w="7763" w:type="dxa"/>
            <w:gridSpan w:val="5"/>
          </w:tcPr>
          <w:p w:rsidR="006969E6" w:rsidRPr="00E76E71" w:rsidRDefault="006969E6" w:rsidP="006969E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Социально-педагогические мероприятия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07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Поиск и закрепление авторитетных лиц среди взрослых и сверстников в нормативном поле, анализ и интеграция модели альтернативного (конструктивного, одобряемого) поведения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посещением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обучающимся учебных занятий, наблюдение за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поведением на улице, в общественных местах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интересной деятельности, альтернативной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поведению, и поэтапное включение в нее ребенка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досуга во внеурочное время 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социально-педагогические проекты (РДДМ, ЮНАРМИЯ, «Большая перемена» и др.)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конструктивным способам разрешения конфликтов 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6E3DD6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</w:t>
            </w:r>
            <w:r w:rsidR="006969E6"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763" w:type="dxa"/>
            <w:gridSpan w:val="5"/>
          </w:tcPr>
          <w:p w:rsidR="006969E6" w:rsidRPr="00E76E71" w:rsidRDefault="006969E6" w:rsidP="006969E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мероприятия ИМСО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07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1560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программах (тренингах)</w:t>
            </w:r>
          </w:p>
        </w:tc>
        <w:tc>
          <w:tcPr>
            <w:tcW w:w="2756" w:type="dxa"/>
            <w:gridSpan w:val="2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 реализации</w:t>
            </w:r>
          </w:p>
        </w:tc>
      </w:tr>
      <w:tr w:rsidR="006969E6" w:rsidRPr="00E76E71" w:rsidTr="00323E85">
        <w:tc>
          <w:tcPr>
            <w:tcW w:w="756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</w:p>
        </w:tc>
      </w:tr>
      <w:tr w:rsidR="00456975" w:rsidRPr="00E76E71" w:rsidTr="00323E85">
        <w:tc>
          <w:tcPr>
            <w:tcW w:w="756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6975" w:rsidRPr="00E76E71" w:rsidTr="00323E85">
        <w:tc>
          <w:tcPr>
            <w:tcW w:w="756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456975" w:rsidRPr="00E76E71" w:rsidRDefault="00456975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244" w:type="dxa"/>
            <w:gridSpan w:val="6"/>
          </w:tcPr>
          <w:p w:rsidR="006969E6" w:rsidRPr="00E76E71" w:rsidRDefault="006969E6" w:rsidP="006969E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244" w:type="dxa"/>
            <w:gridSpan w:val="6"/>
          </w:tcPr>
          <w:p w:rsidR="006969E6" w:rsidRPr="00E76E71" w:rsidRDefault="006E3DD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6969E6" w:rsidRPr="00E76E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969E6"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Мероприятия с педагогическим сообществом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244" w:type="dxa"/>
            <w:gridSpan w:val="6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Межведомственные мероприятия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Директор ______________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Куратор___________________</w:t>
      </w:r>
    </w:p>
    <w:p w:rsidR="006969E6" w:rsidRDefault="006969E6" w:rsidP="006969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E6" w:rsidRDefault="006969E6" w:rsidP="006969E6"/>
    <w:p w:rsidR="006969E6" w:rsidRDefault="006969E6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969E6" w:rsidSect="009F4DE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73" w:rsidRDefault="00E34073" w:rsidP="007F2FC3">
      <w:pPr>
        <w:spacing w:after="0" w:line="240" w:lineRule="auto"/>
      </w:pPr>
      <w:r>
        <w:separator/>
      </w:r>
    </w:p>
  </w:endnote>
  <w:endnote w:type="continuationSeparator" w:id="0">
    <w:p w:rsidR="00E34073" w:rsidRDefault="00E34073" w:rsidP="007F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73" w:rsidRDefault="00E34073" w:rsidP="007F2FC3">
      <w:pPr>
        <w:spacing w:after="0" w:line="240" w:lineRule="auto"/>
      </w:pPr>
      <w:r>
        <w:separator/>
      </w:r>
    </w:p>
  </w:footnote>
  <w:footnote w:type="continuationSeparator" w:id="0">
    <w:p w:rsidR="00E34073" w:rsidRDefault="00E34073" w:rsidP="007F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E1C"/>
    <w:multiLevelType w:val="hybridMultilevel"/>
    <w:tmpl w:val="E36C3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AA5703"/>
    <w:multiLevelType w:val="hybridMultilevel"/>
    <w:tmpl w:val="6BBE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7973"/>
    <w:multiLevelType w:val="hybridMultilevel"/>
    <w:tmpl w:val="57E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6FA5"/>
    <w:multiLevelType w:val="hybridMultilevel"/>
    <w:tmpl w:val="DDA807C2"/>
    <w:lvl w:ilvl="0" w:tplc="D60657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15568E"/>
    <w:multiLevelType w:val="hybridMultilevel"/>
    <w:tmpl w:val="0A6C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48F8"/>
    <w:multiLevelType w:val="hybridMultilevel"/>
    <w:tmpl w:val="0150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F6E30"/>
    <w:multiLevelType w:val="hybridMultilevel"/>
    <w:tmpl w:val="FA2CF1C0"/>
    <w:lvl w:ilvl="0" w:tplc="89DC647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411C12"/>
    <w:multiLevelType w:val="hybridMultilevel"/>
    <w:tmpl w:val="F6CA686E"/>
    <w:lvl w:ilvl="0" w:tplc="A21443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0F1"/>
    <w:multiLevelType w:val="hybridMultilevel"/>
    <w:tmpl w:val="E85CD918"/>
    <w:lvl w:ilvl="0" w:tplc="F042D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B3E9C"/>
    <w:multiLevelType w:val="hybridMultilevel"/>
    <w:tmpl w:val="B5AC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45317"/>
    <w:multiLevelType w:val="hybridMultilevel"/>
    <w:tmpl w:val="5F78DD80"/>
    <w:lvl w:ilvl="0" w:tplc="34B8D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F4AA7"/>
    <w:multiLevelType w:val="hybridMultilevel"/>
    <w:tmpl w:val="2FC05A36"/>
    <w:lvl w:ilvl="0" w:tplc="24C2B2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992"/>
    <w:rsid w:val="000206B6"/>
    <w:rsid w:val="00026243"/>
    <w:rsid w:val="000427CB"/>
    <w:rsid w:val="00056C14"/>
    <w:rsid w:val="00057BCE"/>
    <w:rsid w:val="00076EF6"/>
    <w:rsid w:val="000A13D6"/>
    <w:rsid w:val="000A59D5"/>
    <w:rsid w:val="000A6D01"/>
    <w:rsid w:val="000B3E66"/>
    <w:rsid w:val="000C03E7"/>
    <w:rsid w:val="000C39C9"/>
    <w:rsid w:val="000E1208"/>
    <w:rsid w:val="000E12A6"/>
    <w:rsid w:val="000F24C8"/>
    <w:rsid w:val="00104518"/>
    <w:rsid w:val="00105E3F"/>
    <w:rsid w:val="0011614A"/>
    <w:rsid w:val="0016733A"/>
    <w:rsid w:val="00172470"/>
    <w:rsid w:val="00175707"/>
    <w:rsid w:val="001850BC"/>
    <w:rsid w:val="001E34E1"/>
    <w:rsid w:val="00270124"/>
    <w:rsid w:val="00285FCE"/>
    <w:rsid w:val="002978E8"/>
    <w:rsid w:val="002C7EAB"/>
    <w:rsid w:val="002D6770"/>
    <w:rsid w:val="002D73E6"/>
    <w:rsid w:val="002F4505"/>
    <w:rsid w:val="00330818"/>
    <w:rsid w:val="003B1263"/>
    <w:rsid w:val="003B7441"/>
    <w:rsid w:val="003E4FCF"/>
    <w:rsid w:val="00412B56"/>
    <w:rsid w:val="00421D0C"/>
    <w:rsid w:val="0044248D"/>
    <w:rsid w:val="00456975"/>
    <w:rsid w:val="004805F3"/>
    <w:rsid w:val="0048490C"/>
    <w:rsid w:val="00487EFF"/>
    <w:rsid w:val="00492545"/>
    <w:rsid w:val="004A6371"/>
    <w:rsid w:val="004C6D40"/>
    <w:rsid w:val="004D4E5D"/>
    <w:rsid w:val="004E2531"/>
    <w:rsid w:val="004F0AB4"/>
    <w:rsid w:val="00525269"/>
    <w:rsid w:val="005C729B"/>
    <w:rsid w:val="005D30FC"/>
    <w:rsid w:val="005D5741"/>
    <w:rsid w:val="005F35CA"/>
    <w:rsid w:val="005F3CBC"/>
    <w:rsid w:val="006019CC"/>
    <w:rsid w:val="006517D9"/>
    <w:rsid w:val="00663042"/>
    <w:rsid w:val="006963AA"/>
    <w:rsid w:val="006969E6"/>
    <w:rsid w:val="006B342A"/>
    <w:rsid w:val="006C0EF3"/>
    <w:rsid w:val="006E2992"/>
    <w:rsid w:val="006E3DD6"/>
    <w:rsid w:val="0073386C"/>
    <w:rsid w:val="007910E9"/>
    <w:rsid w:val="007911D0"/>
    <w:rsid w:val="00797313"/>
    <w:rsid w:val="007B416B"/>
    <w:rsid w:val="007B67DF"/>
    <w:rsid w:val="007D4C4D"/>
    <w:rsid w:val="007F2FC3"/>
    <w:rsid w:val="007F74E3"/>
    <w:rsid w:val="00887C6C"/>
    <w:rsid w:val="008F296C"/>
    <w:rsid w:val="00936BCE"/>
    <w:rsid w:val="0093779D"/>
    <w:rsid w:val="00977FA9"/>
    <w:rsid w:val="0098135E"/>
    <w:rsid w:val="009A125C"/>
    <w:rsid w:val="009A36C7"/>
    <w:rsid w:val="009A750F"/>
    <w:rsid w:val="009B233D"/>
    <w:rsid w:val="009D1197"/>
    <w:rsid w:val="009D1501"/>
    <w:rsid w:val="009D4472"/>
    <w:rsid w:val="009D6946"/>
    <w:rsid w:val="009F4DEA"/>
    <w:rsid w:val="00A058F2"/>
    <w:rsid w:val="00A307F3"/>
    <w:rsid w:val="00A3720B"/>
    <w:rsid w:val="00A5037C"/>
    <w:rsid w:val="00A67324"/>
    <w:rsid w:val="00AA35CA"/>
    <w:rsid w:val="00AD3CA3"/>
    <w:rsid w:val="00AE395D"/>
    <w:rsid w:val="00AE5211"/>
    <w:rsid w:val="00AE7DBA"/>
    <w:rsid w:val="00AF5EF1"/>
    <w:rsid w:val="00B0691B"/>
    <w:rsid w:val="00B077CB"/>
    <w:rsid w:val="00B4216D"/>
    <w:rsid w:val="00B46120"/>
    <w:rsid w:val="00B701AF"/>
    <w:rsid w:val="00B86E68"/>
    <w:rsid w:val="00BF307F"/>
    <w:rsid w:val="00C36A6F"/>
    <w:rsid w:val="00C4100B"/>
    <w:rsid w:val="00C50FB2"/>
    <w:rsid w:val="00C5261E"/>
    <w:rsid w:val="00CB5DCC"/>
    <w:rsid w:val="00CC4860"/>
    <w:rsid w:val="00CD621B"/>
    <w:rsid w:val="00CE3C93"/>
    <w:rsid w:val="00CF2F00"/>
    <w:rsid w:val="00D00DFA"/>
    <w:rsid w:val="00D54BF6"/>
    <w:rsid w:val="00D64A52"/>
    <w:rsid w:val="00D7416C"/>
    <w:rsid w:val="00D8136B"/>
    <w:rsid w:val="00DF29AF"/>
    <w:rsid w:val="00DF50B7"/>
    <w:rsid w:val="00E00ED0"/>
    <w:rsid w:val="00E013A9"/>
    <w:rsid w:val="00E01E8F"/>
    <w:rsid w:val="00E12B0D"/>
    <w:rsid w:val="00E333C2"/>
    <w:rsid w:val="00E34073"/>
    <w:rsid w:val="00E43D84"/>
    <w:rsid w:val="00E76D3B"/>
    <w:rsid w:val="00E76E71"/>
    <w:rsid w:val="00EF0BE8"/>
    <w:rsid w:val="00EF1655"/>
    <w:rsid w:val="00F00326"/>
    <w:rsid w:val="00F037E4"/>
    <w:rsid w:val="00F6208E"/>
    <w:rsid w:val="00F86E1B"/>
    <w:rsid w:val="00FB1790"/>
    <w:rsid w:val="00FB393C"/>
    <w:rsid w:val="00FC0313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E4FCF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a7"/>
    <w:uiPriority w:val="99"/>
    <w:unhideWhenUsed/>
    <w:rsid w:val="007F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FC3"/>
  </w:style>
  <w:style w:type="paragraph" w:styleId="a8">
    <w:name w:val="footer"/>
    <w:basedOn w:val="a"/>
    <w:link w:val="a9"/>
    <w:uiPriority w:val="99"/>
    <w:unhideWhenUsed/>
    <w:rsid w:val="007F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E4FC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38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20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ППМС</cp:lastModifiedBy>
  <cp:revision>46</cp:revision>
  <dcterms:created xsi:type="dcterms:W3CDTF">2023-10-11T08:30:00Z</dcterms:created>
  <dcterms:modified xsi:type="dcterms:W3CDTF">2025-08-12T07:10:00Z</dcterms:modified>
</cp:coreProperties>
</file>